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35" w:rsidRDefault="00007735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7735" w:rsidRDefault="00007735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90C4D" w:rsidRPr="00365F72" w:rsidRDefault="00390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Общие  итоги  внешней  торговли  </w:t>
      </w:r>
      <w:r w:rsidR="00C60B84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</w:t>
      </w:r>
      <w:r w:rsidR="0000132F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урской</w:t>
      </w:r>
      <w:r w:rsidR="00ED0BAC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390C4D" w:rsidRPr="00365F72" w:rsidRDefault="005D4C23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B5BB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январ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</w:t>
      </w:r>
      <w:r w:rsidR="000B5BB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</w:t>
      </w:r>
      <w:r w:rsidR="00351B5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сентябрь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2020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96"/>
      </w:tblGrid>
      <w:tr w:rsidR="006D1639" w:rsidRPr="004F08AD" w:rsidTr="0044453B">
        <w:trPr>
          <w:trHeight w:val="255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639" w:rsidRDefault="006D1639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1639" w:rsidRPr="0044453B" w:rsidRDefault="006D1639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4453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тыс. долларов США</w:t>
            </w:r>
          </w:p>
          <w:tbl>
            <w:tblPr>
              <w:tblW w:w="9683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220"/>
              <w:gridCol w:w="1220"/>
              <w:gridCol w:w="1220"/>
              <w:gridCol w:w="1220"/>
              <w:gridCol w:w="1446"/>
              <w:gridCol w:w="1417"/>
            </w:tblGrid>
            <w:tr w:rsidR="0044453B" w:rsidRPr="0044453B" w:rsidTr="0044453B">
              <w:trPr>
                <w:trHeight w:val="600"/>
              </w:trPr>
              <w:tc>
                <w:tcPr>
                  <w:tcW w:w="19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Показатели итогов внешней торговли</w:t>
                  </w:r>
                </w:p>
              </w:tc>
              <w:tc>
                <w:tcPr>
                  <w:tcW w:w="244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2019 год</w:t>
                  </w:r>
                </w:p>
              </w:tc>
              <w:tc>
                <w:tcPr>
                  <w:tcW w:w="244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2020 год</w:t>
                  </w:r>
                </w:p>
              </w:tc>
              <w:tc>
                <w:tcPr>
                  <w:tcW w:w="2863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Темп роста, %</w:t>
                  </w:r>
                </w:p>
              </w:tc>
            </w:tr>
            <w:tr w:rsidR="0044453B" w:rsidRPr="0044453B" w:rsidTr="0044453B">
              <w:trPr>
                <w:trHeight w:val="999"/>
              </w:trPr>
              <w:tc>
                <w:tcPr>
                  <w:tcW w:w="19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3 квартал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январь -сентябрь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3 квартал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январь -сентябрь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3 квартал 2020/   3 квартал 2019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янв</w:t>
                  </w:r>
                  <w:proofErr w:type="spellEnd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-</w:t>
                  </w:r>
                  <w:proofErr w:type="spellStart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сент</w:t>
                  </w:r>
                  <w:proofErr w:type="spellEnd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2020/                  </w:t>
                  </w:r>
                  <w:proofErr w:type="spellStart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янв</w:t>
                  </w:r>
                  <w:proofErr w:type="spellEnd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-</w:t>
                  </w:r>
                  <w:proofErr w:type="spellStart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сент</w:t>
                  </w:r>
                  <w:proofErr w:type="spellEnd"/>
                  <w:r w:rsidRPr="0044453B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2019</w:t>
                  </w:r>
                </w:p>
              </w:tc>
            </w:tr>
            <w:tr w:rsidR="0044453B" w:rsidRPr="0044453B" w:rsidTr="0044453B">
              <w:trPr>
                <w:trHeight w:val="288"/>
              </w:trPr>
              <w:tc>
                <w:tcPr>
                  <w:tcW w:w="19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ТОВАРООБОРОТ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328 649,2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989 839,1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386 132,9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963 407,9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117,5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97,3</w:t>
                  </w:r>
                </w:p>
              </w:tc>
            </w:tr>
            <w:tr w:rsidR="0044453B" w:rsidRPr="0044453B" w:rsidTr="0044453B">
              <w:trPr>
                <w:trHeight w:val="288"/>
              </w:trPr>
              <w:tc>
                <w:tcPr>
                  <w:tcW w:w="19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ЭКСПОРТ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231 646,6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578 185,6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214 191,6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588 347,2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92,5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101,8</w:t>
                  </w:r>
                </w:p>
              </w:tc>
            </w:tr>
            <w:tr w:rsidR="0044453B" w:rsidRPr="0044453B" w:rsidTr="0044453B">
              <w:trPr>
                <w:trHeight w:val="288"/>
              </w:trPr>
              <w:tc>
                <w:tcPr>
                  <w:tcW w:w="19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ИМПОРТ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97 002,6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411 653,5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171 941,3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375 060,7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177,3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91,1</w:t>
                  </w:r>
                </w:p>
              </w:tc>
            </w:tr>
            <w:tr w:rsidR="0044453B" w:rsidRPr="0044453B" w:rsidTr="0044453B">
              <w:trPr>
                <w:trHeight w:val="288"/>
              </w:trPr>
              <w:tc>
                <w:tcPr>
                  <w:tcW w:w="19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САЛЬДО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134 644,0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166 532,1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42 250,3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213 286,5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ХХХ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4453B" w:rsidRPr="0044453B" w:rsidRDefault="0044453B" w:rsidP="0044453B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44453B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ХХХ</w:t>
                  </w:r>
                </w:p>
              </w:tc>
            </w:tr>
          </w:tbl>
          <w:p w:rsidR="0044453B" w:rsidRDefault="0044453B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4453B" w:rsidRPr="004F08AD" w:rsidRDefault="0044453B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1029D" w:rsidRPr="00B05822" w:rsidRDefault="0071029D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таможенной статистики в течение </w:t>
      </w:r>
      <w:r w:rsidR="000B5BB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января-</w:t>
      </w:r>
      <w:r w:rsidR="00351B5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предприятия и организации, зарегистрированные в К</w:t>
      </w:r>
      <w:r w:rsidR="00DE44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рской области, осуществляли торговлю с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93 странами мира. Их количество увеличилось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аналогичному периоду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1,1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5A027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07E52" w:rsidRPr="00B05822" w:rsidRDefault="00207E52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Внешнеторговый оборот </w:t>
      </w:r>
      <w:r w:rsidR="00F2094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2759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</w:t>
      </w:r>
      <w:r w:rsidR="00ED0BAC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истекший период </w:t>
      </w:r>
      <w:r w:rsidR="00963A3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F3D3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963,4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63A3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</w:t>
      </w:r>
      <w:r w:rsidR="00EF3D3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63A3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</w:t>
      </w:r>
      <w:r w:rsidR="000B5BB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 периодом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5559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сократился</w:t>
      </w:r>
      <w:r w:rsidR="00EF3D3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2,7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207E52" w:rsidRPr="00B05822" w:rsidRDefault="00207E52" w:rsidP="000362CD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</w:t>
      </w:r>
      <w:r w:rsidR="002B3C9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57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</w:t>
      </w:r>
      <w:r w:rsidR="00C8157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1,8</w:t>
      </w:r>
      <w:r w:rsidR="00C8157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C81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B3C9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588,3</w:t>
      </w:r>
      <w:r w:rsidR="002B3C9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</w:t>
      </w:r>
      <w:r w:rsidR="005559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объемы импорта по отношению к январю-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сентябрю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5559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сократились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8,9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составили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375,1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1D32A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США. </w:t>
      </w:r>
    </w:p>
    <w:p w:rsidR="00B576B6" w:rsidRDefault="00207E52" w:rsidP="00B576B6">
      <w:pPr>
        <w:tabs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сальдо торгового баланса сложилось </w:t>
      </w:r>
      <w:r w:rsidR="001B3B1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составило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213,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мл</w:t>
      </w:r>
      <w:r w:rsidR="001D32A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  <w:r w:rsidR="00B57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6B6" w:rsidRPr="00F831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Экспорт товаров из </w:t>
      </w:r>
      <w:r w:rsidR="00B576B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r w:rsidR="00B576B6" w:rsidRPr="00F83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B576B6" w:rsidRPr="00F831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стоимости </w:t>
      </w:r>
      <w:r w:rsidR="0013046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превышает</w:t>
      </w:r>
      <w:r w:rsidR="00B576B6" w:rsidRPr="00F831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импорт в этот регион в </w:t>
      </w:r>
      <w:r w:rsidR="00B576B6">
        <w:rPr>
          <w:rFonts w:ascii="Times New Roman" w:eastAsia="Times New Roman" w:hAnsi="Times New Roman" w:cs="Times New Roman"/>
          <w:sz w:val="24"/>
          <w:szCs w:val="20"/>
          <w:lang w:eastAsia="ru-RU"/>
        </w:rPr>
        <w:t>1,</w:t>
      </w:r>
      <w:r w:rsidR="0044453B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B576B6" w:rsidRPr="00F831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</w:t>
      </w:r>
      <w:r w:rsidR="00B576B6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="00B576B6" w:rsidRPr="00F8315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F833BC" w:rsidRPr="00B05822" w:rsidRDefault="00F833BC" w:rsidP="00B05822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внешней торговли </w:t>
      </w:r>
      <w:r w:rsidR="0040051A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Курской</w:t>
      </w:r>
      <w:r w:rsidR="001930D2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  <w:r w:rsidR="00B03AAC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 странами дальнего зарубежья</w:t>
      </w:r>
      <w:r w:rsidR="002F19E1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Товарооборот </w:t>
      </w:r>
      <w:r w:rsidR="0040051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r w:rsidR="001930D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странами дальнего зарубежья за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январь-</w:t>
      </w:r>
      <w:r w:rsidR="00351B5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составил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710,7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1D32A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 и по сравнению с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 периодом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увеличился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576B6">
        <w:rPr>
          <w:rFonts w:ascii="Times New Roman" w:eastAsia="Times New Roman" w:hAnsi="Times New Roman" w:cs="Times New Roman"/>
          <w:sz w:val="24"/>
          <w:szCs w:val="24"/>
          <w:lang w:eastAsia="ru-RU"/>
        </w:rPr>
        <w:t>,1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Оборот внешней торговли со странами ДЗ в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</w:t>
      </w:r>
      <w:r w:rsidR="0040051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превышает оборот со странами СНГ.</w:t>
      </w: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Экспорт в страны дальнего зарубежья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10,3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составил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453,6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США. Импорт из стран ДЗ составил </w:t>
      </w:r>
      <w:r w:rsidR="0044453B">
        <w:rPr>
          <w:rFonts w:ascii="Times New Roman" w:eastAsia="Times New Roman" w:hAnsi="Times New Roman" w:cs="Times New Roman"/>
          <w:sz w:val="24"/>
          <w:szCs w:val="24"/>
          <w:lang w:eastAsia="ru-RU"/>
        </w:rPr>
        <w:t>257,1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 и по отношению к показателям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января-</w:t>
      </w:r>
      <w:r w:rsidR="00351B5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B576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сократился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2,9%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677E" w:rsidRDefault="00BB677E" w:rsidP="00B05822">
      <w:p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внешняя торговля со странами дальнего зарубежья характеризуется </w:t>
      </w:r>
      <w:r w:rsidR="001B3B1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положительным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сальдо –</w:t>
      </w:r>
      <w:r w:rsidR="00D63D1B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196,5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</w:p>
    <w:p w:rsidR="004947EE" w:rsidRDefault="004947EE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2CD" w:rsidRDefault="000362CD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2CD" w:rsidRDefault="000362CD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2CD" w:rsidRDefault="000362CD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77E" w:rsidRPr="004947EE" w:rsidRDefault="00BB677E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внешней торговли </w:t>
      </w:r>
      <w:r w:rsidR="008A5432" w:rsidRPr="00494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Курской</w:t>
      </w:r>
      <w:r w:rsidR="0024786B" w:rsidRPr="00494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  <w:r w:rsidR="00B03AAC" w:rsidRPr="00494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94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 странами СНГ</w:t>
      </w:r>
    </w:p>
    <w:p w:rsidR="004947EE" w:rsidRPr="004947EE" w:rsidRDefault="004947EE" w:rsidP="004947EE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77E" w:rsidRPr="00B05822" w:rsidRDefault="00BB677E" w:rsidP="004947EE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7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внешней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торговли </w:t>
      </w:r>
      <w:r w:rsidR="001C176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r w:rsidR="00C8562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государствами СНГ</w:t>
      </w:r>
      <w:r w:rsidR="00561391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5CB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(включая страны ЕАЭС)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январь-</w:t>
      </w:r>
      <w:r w:rsidR="00351B5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252,7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США, что на</w:t>
      </w:r>
      <w:r w:rsidR="00703A5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19,5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B576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</w:t>
      </w:r>
      <w:r w:rsidR="00FF3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аналогичного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периода </w:t>
      </w:r>
      <w:r w:rsidR="00DB3939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года, в том числе экспорт –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134,7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 (</w:t>
      </w:r>
      <w:r w:rsidR="00B576B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="00E56F63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19,3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импорт –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118,0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 (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="00E56F63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19,7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</w:p>
    <w:p w:rsidR="00CA79EF" w:rsidRPr="00CA79EF" w:rsidRDefault="00F15A87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экспорта </w:t>
      </w:r>
      <w:r w:rsidR="00867E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67E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за счёт</w:t>
      </w:r>
      <w:r w:rsidR="00AD0F6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снижения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объемов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вывоза российских товаров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Беларусь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17,4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Украину (на 10,7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в 1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,3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Каза</w:t>
      </w:r>
      <w:bookmarkStart w:id="0" w:name="_GoBack"/>
      <w:bookmarkEnd w:id="0"/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хстан (на 10,5 млн. долларов США или в 1,5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Молдову (на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в 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3,9</w:t>
      </w:r>
      <w:r w:rsidR="00E56F63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этом наблюдается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стоимостных объемов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экспорта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Узбекистан (на 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10,7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в 2,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Азербайджан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4,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2,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A87" w:rsidRDefault="00E56F63" w:rsidP="00A56306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стоимостных объемов импорта обусловлено</w:t>
      </w:r>
      <w:r w:rsidR="00DE44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поставок </w:t>
      </w:r>
      <w:r w:rsidR="00C85624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Украины</w:t>
      </w:r>
      <w:r w:rsidR="00F15A87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4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32,2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в 1,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C5289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5A87" w:rsidRP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наблюдается рост</w:t>
      </w:r>
      <w:r w:rsidR="00F15A87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стоимостных объемов 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импорта из</w:t>
      </w:r>
      <w:r w:rsidR="00F15A87" w:rsidRP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A87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Казахстана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3,1 млн. долларов США или в 1,3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 и 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Узбекистана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2,1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или в 1,</w:t>
      </w:r>
      <w:r w:rsidR="00284D8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A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677E" w:rsidRPr="00CA79EF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Сальдо торгового баланса сложилось 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составило </w:t>
      </w:r>
      <w:r w:rsidR="00F77623">
        <w:rPr>
          <w:rFonts w:ascii="Times New Roman" w:eastAsia="Times New Roman" w:hAnsi="Times New Roman" w:cs="Times New Roman"/>
          <w:sz w:val="24"/>
          <w:szCs w:val="24"/>
          <w:lang w:eastAsia="ru-RU"/>
        </w:rPr>
        <w:t>16,7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AD0F6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</w:p>
    <w:p w:rsidR="00171085" w:rsidRPr="00B05822" w:rsidRDefault="0017108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71085" w:rsidRPr="00865857" w:rsidRDefault="00171085" w:rsidP="00B05822">
      <w:pPr>
        <w:tabs>
          <w:tab w:val="left" w:pos="1134"/>
        </w:tabs>
        <w:spacing w:after="0" w:line="336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торговые партнеры</w:t>
      </w:r>
      <w:r w:rsidR="002F19E1"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804068"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8170CC"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171085" w:rsidRPr="00865857" w:rsidRDefault="00171085" w:rsidP="00B05822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71085" w:rsidRDefault="0017108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Основными торговыми партнерами </w:t>
      </w:r>
      <w:r w:rsidR="00531D4D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r w:rsidR="003F3F15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урской</w:t>
      </w:r>
      <w:r w:rsidR="002A620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542B3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области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</w:t>
      </w:r>
      <w:r w:rsidR="006E558B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январе-</w:t>
      </w:r>
      <w:r w:rsidR="00351B5B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сентябре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были</w:t>
      </w:r>
      <w:r w:rsidR="00007735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  <w:r w:rsidR="00007735" w:rsidRPr="000077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947E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="004947E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Китай</w:t>
      </w:r>
      <w:r w:rsidR="004947E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24,8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от всего товарооборота </w:t>
      </w:r>
      <w:r w:rsidR="00C74FB2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субъекта Российской Федерации 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(в </w:t>
      </w:r>
      <w:r w:rsidR="006E558B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январе-</w:t>
      </w:r>
      <w:r w:rsidR="00351B5B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сентябре</w:t>
      </w:r>
      <w:r w:rsidR="006E558B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B3939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– 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11,1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007735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Украина</w:t>
      </w:r>
      <w:r w:rsidR="000077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10,1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14,2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Швейцария – 7,2% (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11,3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Беларусь 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7,2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8,9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Италия</w:t>
      </w:r>
      <w:r w:rsidR="005E7FE1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4,7</w:t>
      </w:r>
      <w:r w:rsidR="005E7FE1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2,8</w:t>
      </w:r>
      <w:r w:rsidR="005E7FE1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5E7FE1" w:rsidRPr="004947E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Словакия  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4,0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5,9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947E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Казахстан 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3,5</w:t>
      </w:r>
      <w:r w:rsidR="004947E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E260BF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4947EE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4947E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 w:rsidRP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Узбекистан – 2,7% (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1,4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Вьетнам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2,7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E260BF">
        <w:rPr>
          <w:rFonts w:ascii="Times New Roman" w:eastAsia="Times New Roman" w:hAnsi="Times New Roman" w:cs="Times New Roman"/>
          <w:sz w:val="24"/>
          <w:szCs w:val="20"/>
          <w:lang w:eastAsia="ru-RU"/>
        </w:rPr>
        <w:t>5,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Венгрия</w:t>
      </w:r>
      <w:r w:rsidR="00E260BF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2,7</w:t>
      </w:r>
      <w:r w:rsidR="00E260BF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B2204">
        <w:rPr>
          <w:rFonts w:ascii="Times New Roman" w:eastAsia="Times New Roman" w:hAnsi="Times New Roman" w:cs="Times New Roman"/>
          <w:sz w:val="24"/>
          <w:szCs w:val="20"/>
          <w:lang w:eastAsia="ru-RU"/>
        </w:rPr>
        <w:t>0,1</w:t>
      </w:r>
      <w:r w:rsidR="005E7FE1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A7663A" w:rsidRDefault="00A7663A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7663A" w:rsidRDefault="00A7663A" w:rsidP="00A7663A">
      <w:pPr>
        <w:tabs>
          <w:tab w:val="left" w:pos="1134"/>
        </w:tabs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30331BE" wp14:editId="557542B1">
            <wp:extent cx="6316980" cy="3185160"/>
            <wp:effectExtent l="0" t="0" r="2667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947EE" w:rsidRDefault="004947E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6744B" w:rsidRDefault="0066744B" w:rsidP="004947EE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D352A" w:rsidRDefault="009D352A" w:rsidP="004947EE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Товарная структура ЭКСПОРТА</w:t>
      </w:r>
      <w:r w:rsidR="002F19E1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57D29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FF21F2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F158BB" w:rsidRPr="00882722" w:rsidRDefault="00F158BB" w:rsidP="004947EE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44EEE1F6" wp14:editId="2439D8D0">
            <wp:extent cx="6152515" cy="3899535"/>
            <wp:effectExtent l="0" t="0" r="635" b="571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1613" w:rsidRPr="00A6142D" w:rsidRDefault="00B01613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B4264" w:rsidRPr="00882722" w:rsidRDefault="00FF21F2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</w:t>
      </w:r>
      <w:r w:rsidR="002F19E1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оварная структура ИМП</w:t>
      </w: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ОРТА </w:t>
      </w:r>
      <w:r w:rsidR="00D57D29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E3372A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области</w:t>
      </w:r>
    </w:p>
    <w:p w:rsidR="0047281C" w:rsidRDefault="0047281C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36813" w:rsidRPr="000E5196" w:rsidRDefault="00F158BB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204562DF" wp14:editId="4837AECB">
            <wp:extent cx="6152515" cy="3718560"/>
            <wp:effectExtent l="0" t="0" r="63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4264" w:rsidRPr="00A6142D" w:rsidRDefault="004B4264" w:rsidP="0088272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sectPr w:rsidR="004B4264" w:rsidRPr="00A6142D" w:rsidSect="00007735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44B" w:rsidRDefault="0083244B" w:rsidP="00D80069">
      <w:pPr>
        <w:spacing w:after="0" w:line="240" w:lineRule="auto"/>
      </w:pPr>
      <w:r>
        <w:separator/>
      </w:r>
    </w:p>
  </w:endnote>
  <w:endnote w:type="continuationSeparator" w:id="0">
    <w:p w:rsidR="0083244B" w:rsidRDefault="0083244B" w:rsidP="00D8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44B" w:rsidRDefault="0083244B" w:rsidP="00D80069">
      <w:pPr>
        <w:spacing w:after="0" w:line="240" w:lineRule="auto"/>
      </w:pPr>
      <w:r>
        <w:separator/>
      </w:r>
    </w:p>
  </w:footnote>
  <w:footnote w:type="continuationSeparator" w:id="0">
    <w:p w:rsidR="0083244B" w:rsidRDefault="0083244B" w:rsidP="00D800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00132F"/>
    <w:rsid w:val="000034BA"/>
    <w:rsid w:val="00007735"/>
    <w:rsid w:val="000362CD"/>
    <w:rsid w:val="000518F1"/>
    <w:rsid w:val="00053CDD"/>
    <w:rsid w:val="00061ADB"/>
    <w:rsid w:val="0006259E"/>
    <w:rsid w:val="00086CB5"/>
    <w:rsid w:val="000A0B85"/>
    <w:rsid w:val="000B3276"/>
    <w:rsid w:val="000B5BBF"/>
    <w:rsid w:val="000C1302"/>
    <w:rsid w:val="000C2ADA"/>
    <w:rsid w:val="000E5196"/>
    <w:rsid w:val="00102B12"/>
    <w:rsid w:val="0013046F"/>
    <w:rsid w:val="00140643"/>
    <w:rsid w:val="0015046B"/>
    <w:rsid w:val="001514A7"/>
    <w:rsid w:val="00171085"/>
    <w:rsid w:val="001930D2"/>
    <w:rsid w:val="001B18F2"/>
    <w:rsid w:val="001B3B1F"/>
    <w:rsid w:val="001C1766"/>
    <w:rsid w:val="001D32A2"/>
    <w:rsid w:val="001E696D"/>
    <w:rsid w:val="001F3111"/>
    <w:rsid w:val="00207E52"/>
    <w:rsid w:val="00234B6C"/>
    <w:rsid w:val="0024786B"/>
    <w:rsid w:val="002539D1"/>
    <w:rsid w:val="00257DF4"/>
    <w:rsid w:val="00284D81"/>
    <w:rsid w:val="002A5464"/>
    <w:rsid w:val="002A620C"/>
    <w:rsid w:val="002A7330"/>
    <w:rsid w:val="002B3C95"/>
    <w:rsid w:val="002B5CBA"/>
    <w:rsid w:val="002F19E1"/>
    <w:rsid w:val="0031485B"/>
    <w:rsid w:val="00351B5B"/>
    <w:rsid w:val="003608E1"/>
    <w:rsid w:val="00365F72"/>
    <w:rsid w:val="00386AEC"/>
    <w:rsid w:val="00390C4D"/>
    <w:rsid w:val="003F05AB"/>
    <w:rsid w:val="003F3F15"/>
    <w:rsid w:val="0040051A"/>
    <w:rsid w:val="00401DF3"/>
    <w:rsid w:val="0044453B"/>
    <w:rsid w:val="004707E3"/>
    <w:rsid w:val="0047281C"/>
    <w:rsid w:val="004947EE"/>
    <w:rsid w:val="004B4264"/>
    <w:rsid w:val="00514E7C"/>
    <w:rsid w:val="00531D4D"/>
    <w:rsid w:val="00536813"/>
    <w:rsid w:val="00552ED1"/>
    <w:rsid w:val="005542B3"/>
    <w:rsid w:val="00555935"/>
    <w:rsid w:val="00561391"/>
    <w:rsid w:val="00584085"/>
    <w:rsid w:val="0059310A"/>
    <w:rsid w:val="005A027F"/>
    <w:rsid w:val="005D4C23"/>
    <w:rsid w:val="005E26EA"/>
    <w:rsid w:val="005E7FE1"/>
    <w:rsid w:val="00627592"/>
    <w:rsid w:val="00661A10"/>
    <w:rsid w:val="00664E2B"/>
    <w:rsid w:val="0066713C"/>
    <w:rsid w:val="0066744B"/>
    <w:rsid w:val="0069537A"/>
    <w:rsid w:val="006D1639"/>
    <w:rsid w:val="006D3327"/>
    <w:rsid w:val="006E31B2"/>
    <w:rsid w:val="006E558B"/>
    <w:rsid w:val="007034F0"/>
    <w:rsid w:val="00703A52"/>
    <w:rsid w:val="0071029D"/>
    <w:rsid w:val="00760F2D"/>
    <w:rsid w:val="007A492D"/>
    <w:rsid w:val="007B2204"/>
    <w:rsid w:val="007D1B64"/>
    <w:rsid w:val="007E5486"/>
    <w:rsid w:val="007E790E"/>
    <w:rsid w:val="00804068"/>
    <w:rsid w:val="008170CC"/>
    <w:rsid w:val="0083244B"/>
    <w:rsid w:val="00855A2A"/>
    <w:rsid w:val="00865857"/>
    <w:rsid w:val="00867E3D"/>
    <w:rsid w:val="00875769"/>
    <w:rsid w:val="00882722"/>
    <w:rsid w:val="00896588"/>
    <w:rsid w:val="008A5432"/>
    <w:rsid w:val="008D10A7"/>
    <w:rsid w:val="008E1E62"/>
    <w:rsid w:val="008F2778"/>
    <w:rsid w:val="00933418"/>
    <w:rsid w:val="009340EF"/>
    <w:rsid w:val="00946B3D"/>
    <w:rsid w:val="00961215"/>
    <w:rsid w:val="00963A36"/>
    <w:rsid w:val="009820EA"/>
    <w:rsid w:val="00982E1B"/>
    <w:rsid w:val="009A5CCB"/>
    <w:rsid w:val="009D352A"/>
    <w:rsid w:val="009D5729"/>
    <w:rsid w:val="00A32083"/>
    <w:rsid w:val="00A4095E"/>
    <w:rsid w:val="00A56306"/>
    <w:rsid w:val="00A6142D"/>
    <w:rsid w:val="00A70B6E"/>
    <w:rsid w:val="00A763DA"/>
    <w:rsid w:val="00A7663A"/>
    <w:rsid w:val="00AD0F6D"/>
    <w:rsid w:val="00AF0398"/>
    <w:rsid w:val="00AF387A"/>
    <w:rsid w:val="00B01613"/>
    <w:rsid w:val="00B03AAC"/>
    <w:rsid w:val="00B05822"/>
    <w:rsid w:val="00B26E42"/>
    <w:rsid w:val="00B3581B"/>
    <w:rsid w:val="00B360FA"/>
    <w:rsid w:val="00B526B9"/>
    <w:rsid w:val="00B576B6"/>
    <w:rsid w:val="00B65757"/>
    <w:rsid w:val="00BA508B"/>
    <w:rsid w:val="00BB677E"/>
    <w:rsid w:val="00BE6264"/>
    <w:rsid w:val="00C5289D"/>
    <w:rsid w:val="00C572D7"/>
    <w:rsid w:val="00C60599"/>
    <w:rsid w:val="00C60B84"/>
    <w:rsid w:val="00C74FB2"/>
    <w:rsid w:val="00C77DD9"/>
    <w:rsid w:val="00C81575"/>
    <w:rsid w:val="00C85624"/>
    <w:rsid w:val="00C91AB7"/>
    <w:rsid w:val="00CA2B46"/>
    <w:rsid w:val="00CA79EF"/>
    <w:rsid w:val="00CC0C20"/>
    <w:rsid w:val="00D25C5C"/>
    <w:rsid w:val="00D47356"/>
    <w:rsid w:val="00D57D29"/>
    <w:rsid w:val="00D63D1B"/>
    <w:rsid w:val="00D70F60"/>
    <w:rsid w:val="00D80069"/>
    <w:rsid w:val="00DB3939"/>
    <w:rsid w:val="00DE443D"/>
    <w:rsid w:val="00E035C2"/>
    <w:rsid w:val="00E12F31"/>
    <w:rsid w:val="00E260BF"/>
    <w:rsid w:val="00E263DB"/>
    <w:rsid w:val="00E3372A"/>
    <w:rsid w:val="00E56F63"/>
    <w:rsid w:val="00E80C29"/>
    <w:rsid w:val="00E84464"/>
    <w:rsid w:val="00EB1E23"/>
    <w:rsid w:val="00ED0BAC"/>
    <w:rsid w:val="00ED2E7E"/>
    <w:rsid w:val="00EF3D34"/>
    <w:rsid w:val="00F1489B"/>
    <w:rsid w:val="00F158BB"/>
    <w:rsid w:val="00F15A87"/>
    <w:rsid w:val="00F2094A"/>
    <w:rsid w:val="00F36747"/>
    <w:rsid w:val="00F3783C"/>
    <w:rsid w:val="00F43873"/>
    <w:rsid w:val="00F66868"/>
    <w:rsid w:val="00F6726B"/>
    <w:rsid w:val="00F77623"/>
    <w:rsid w:val="00F81547"/>
    <w:rsid w:val="00F830E8"/>
    <w:rsid w:val="00F833BC"/>
    <w:rsid w:val="00FA78E6"/>
    <w:rsid w:val="00FD50F8"/>
    <w:rsid w:val="00FF1A86"/>
    <w:rsid w:val="00FF21F2"/>
    <w:rsid w:val="00FF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40;&#1056;&#1050;&#1054;&#1042;&#1040;\&#1042;&#1053;&#1045;&#1064;&#1053;&#1071;&#1071;%20&#1058;&#1054;&#1056;&#1043;&#1054;&#1042;&#1051;&#1071;\2019\&#1044;&#1080;&#1072;&#1075;&#1088;&#1072;&#1084;&#1084;&#1072;%20&#1074;%20Microsoft%20Word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40;&#1056;&#1050;&#1054;&#1042;&#1040;\&#1042;&#1053;&#1045;&#1064;&#1053;&#1071;&#1071;%20&#1058;&#1054;&#1056;&#1043;&#1054;&#1042;&#1051;&#1071;\2019\&#1044;&#1080;&#1072;&#1075;&#1088;&#1072;&#1084;&#1084;&#1072;%20&#1074;%20Microsoft%20Word%20(&#1082;&#1091;&#1088;&#1089;&#1082;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40;&#1056;&#1050;&#1054;&#1042;&#1040;\&#1042;&#1053;&#1045;&#1064;&#1053;&#1071;&#1071;%20&#1058;&#1054;&#1056;&#1043;&#1054;&#1042;&#1051;&#1071;\2019\&#1044;&#1080;&#1072;&#1075;&#1088;&#1072;&#1084;&#1084;&#1072;%20&#1074;%20Microsoft%20Word%20(&#1082;&#1091;&#1088;&#1089;&#1082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</c:spPr>
    </c:backWall>
    <c:plotArea>
      <c:layout>
        <c:manualLayout>
          <c:layoutTarget val="inner"/>
          <c:xMode val="edge"/>
          <c:yMode val="edge"/>
          <c:x val="0.13180251624116976"/>
          <c:y val="0.12329148468767448"/>
          <c:w val="0.84504376868448439"/>
          <c:h val="0.57279864122352497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Курск!$B$1</c:f>
              <c:strCache>
                <c:ptCount val="1"/>
                <c:pt idx="0">
                  <c:v>Оборот</c:v>
                </c:pt>
              </c:strCache>
            </c:strRef>
          </c:tx>
          <c:spPr>
            <a:gradFill flip="none" rotWithShape="1">
              <a:gsLst>
                <a:gs pos="0">
                  <a:srgbClr val="DDEBCF">
                    <a:lumMod val="8000"/>
                    <a:lumOff val="92000"/>
                  </a:srgbClr>
                </a:gs>
                <a:gs pos="50000">
                  <a:srgbClr val="9CB86E"/>
                </a:gs>
                <a:gs pos="100000">
                  <a:srgbClr val="156B13"/>
                </a:gs>
              </a:gsLst>
              <a:path path="shape">
                <a:fillToRect l="50000" t="50000" r="50000" b="50000"/>
              </a:path>
              <a:tileRect/>
            </a:gradFill>
            <a:ln>
              <a:noFill/>
            </a:ln>
            <a:scene3d>
              <a:camera prst="orthographicFront"/>
              <a:lightRig rig="morning" dir="t"/>
            </a:scene3d>
            <a:sp3d prstMaterial="dkEdge"/>
          </c:spPr>
          <c:invertIfNegative val="0"/>
          <c:cat>
            <c:strRef>
              <c:f>Курск!$A$2:$A$11</c:f>
              <c:strCache>
                <c:ptCount val="10"/>
                <c:pt idx="0">
                  <c:v>КИТАЙ</c:v>
                </c:pt>
                <c:pt idx="1">
                  <c:v>УКРАИНА</c:v>
                </c:pt>
                <c:pt idx="2">
                  <c:v>ШВЕЙЦАРИЯ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СЛОВАКИЯ</c:v>
                </c:pt>
                <c:pt idx="6">
                  <c:v>КАЗАХСТАН</c:v>
                </c:pt>
                <c:pt idx="7">
                  <c:v>УЗБЕКИСТАН</c:v>
                </c:pt>
                <c:pt idx="8">
                  <c:v>ВЬЕТНАМ</c:v>
                </c:pt>
                <c:pt idx="9">
                  <c:v>ВЕНГРИЯ</c:v>
                </c:pt>
              </c:strCache>
            </c:strRef>
          </c:cat>
          <c:val>
            <c:numRef>
              <c:f>Курск!$B$2:$B$11</c:f>
              <c:numCache>
                <c:formatCode>#,##0</c:formatCode>
                <c:ptCount val="10"/>
                <c:pt idx="0">
                  <c:v>238.93493574000001</c:v>
                </c:pt>
                <c:pt idx="1">
                  <c:v>97.392778089999993</c:v>
                </c:pt>
                <c:pt idx="2">
                  <c:v>69.781104900000003</c:v>
                </c:pt>
                <c:pt idx="3">
                  <c:v>69.642835129999995</c:v>
                </c:pt>
                <c:pt idx="4">
                  <c:v>45.35815127</c:v>
                </c:pt>
                <c:pt idx="5">
                  <c:v>38.425206970000005</c:v>
                </c:pt>
                <c:pt idx="6">
                  <c:v>34.135718139999994</c:v>
                </c:pt>
                <c:pt idx="7">
                  <c:v>26.351492910000001</c:v>
                </c:pt>
                <c:pt idx="8">
                  <c:v>26.235599539999999</c:v>
                </c:pt>
                <c:pt idx="9">
                  <c:v>25.6510742</c:v>
                </c:pt>
              </c:numCache>
            </c:numRef>
          </c:val>
        </c:ser>
        <c:ser>
          <c:idx val="0"/>
          <c:order val="1"/>
          <c:tx>
            <c:strRef>
              <c:f>Курск!$C$1</c:f>
              <c:strCache>
                <c:ptCount val="1"/>
                <c:pt idx="0">
                  <c:v>Экспорт</c:v>
                </c:pt>
              </c:strCache>
            </c:strRef>
          </c:tx>
          <c:spPr>
            <a:gradFill flip="none" rotWithShape="1">
              <a:gsLst>
                <a:gs pos="0">
                  <a:srgbClr val="000082"/>
                </a:gs>
                <a:gs pos="52000">
                  <a:srgbClr val="0047FF"/>
                </a:gs>
                <a:gs pos="100000">
                  <a:srgbClr val="0047FF"/>
                </a:gs>
              </a:gsLst>
              <a:lin ang="2700000" scaled="1"/>
              <a:tileRect/>
            </a:gradFill>
          </c:spPr>
          <c:invertIfNegative val="0"/>
          <c:cat>
            <c:strRef>
              <c:f>Курск!$A$2:$A$11</c:f>
              <c:strCache>
                <c:ptCount val="10"/>
                <c:pt idx="0">
                  <c:v>КИТАЙ</c:v>
                </c:pt>
                <c:pt idx="1">
                  <c:v>УКРАИНА</c:v>
                </c:pt>
                <c:pt idx="2">
                  <c:v>ШВЕЙЦАРИЯ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СЛОВАКИЯ</c:v>
                </c:pt>
                <c:pt idx="6">
                  <c:v>КАЗАХСТАН</c:v>
                </c:pt>
                <c:pt idx="7">
                  <c:v>УЗБЕКИСТАН</c:v>
                </c:pt>
                <c:pt idx="8">
                  <c:v>ВЬЕТНАМ</c:v>
                </c:pt>
                <c:pt idx="9">
                  <c:v>ВЕНГРИЯ</c:v>
                </c:pt>
              </c:strCache>
            </c:strRef>
          </c:cat>
          <c:val>
            <c:numRef>
              <c:f>Курск!$C$2:$C$11</c:f>
              <c:numCache>
                <c:formatCode>#,##0</c:formatCode>
                <c:ptCount val="10"/>
                <c:pt idx="0">
                  <c:v>198.69663279</c:v>
                </c:pt>
                <c:pt idx="1">
                  <c:v>38.767304979999992</c:v>
                </c:pt>
                <c:pt idx="2">
                  <c:v>2.375731E-2</c:v>
                </c:pt>
                <c:pt idx="3">
                  <c:v>34.096822520000003</c:v>
                </c:pt>
                <c:pt idx="4">
                  <c:v>23.051881670000004</c:v>
                </c:pt>
                <c:pt idx="5">
                  <c:v>38.234899020000007</c:v>
                </c:pt>
                <c:pt idx="6">
                  <c:v>20.535481539999999</c:v>
                </c:pt>
                <c:pt idx="7">
                  <c:v>19.50682522</c:v>
                </c:pt>
                <c:pt idx="8">
                  <c:v>26.183353879999999</c:v>
                </c:pt>
                <c:pt idx="9">
                  <c:v>25.523934359999998</c:v>
                </c:pt>
              </c:numCache>
            </c:numRef>
          </c:val>
        </c:ser>
        <c:ser>
          <c:idx val="1"/>
          <c:order val="2"/>
          <c:tx>
            <c:strRef>
              <c:f>Курск!$D$1</c:f>
              <c:strCache>
                <c:ptCount val="1"/>
                <c:pt idx="0">
                  <c:v>Импорт</c:v>
                </c:pt>
              </c:strCache>
            </c:strRef>
          </c:tx>
          <c:spPr>
            <a:gradFill flip="none" rotWithShape="1">
              <a:gsLst>
                <a:gs pos="0">
                  <a:srgbClr val="FFF200"/>
                </a:gs>
                <a:gs pos="81000">
                  <a:srgbClr val="FF0300"/>
                </a:gs>
                <a:gs pos="100000">
                  <a:srgbClr val="4D0808"/>
                </a:gs>
              </a:gsLst>
              <a:lin ang="2700000" scaled="1"/>
              <a:tileRect/>
            </a:gradFill>
          </c:spPr>
          <c:invertIfNegative val="0"/>
          <c:cat>
            <c:strRef>
              <c:f>Курск!$A$2:$A$11</c:f>
              <c:strCache>
                <c:ptCount val="10"/>
                <c:pt idx="0">
                  <c:v>КИТАЙ</c:v>
                </c:pt>
                <c:pt idx="1">
                  <c:v>УКРАИНА</c:v>
                </c:pt>
                <c:pt idx="2">
                  <c:v>ШВЕЙЦАРИЯ</c:v>
                </c:pt>
                <c:pt idx="3">
                  <c:v>БЕЛАРУСЬ</c:v>
                </c:pt>
                <c:pt idx="4">
                  <c:v>ИТАЛИЯ</c:v>
                </c:pt>
                <c:pt idx="5">
                  <c:v>СЛОВАКИЯ</c:v>
                </c:pt>
                <c:pt idx="6">
                  <c:v>КАЗАХСТАН</c:v>
                </c:pt>
                <c:pt idx="7">
                  <c:v>УЗБЕКИСТАН</c:v>
                </c:pt>
                <c:pt idx="8">
                  <c:v>ВЬЕТНАМ</c:v>
                </c:pt>
                <c:pt idx="9">
                  <c:v>ВЕНГРИЯ</c:v>
                </c:pt>
              </c:strCache>
            </c:strRef>
          </c:cat>
          <c:val>
            <c:numRef>
              <c:f>Курск!$D$2:$D$11</c:f>
              <c:numCache>
                <c:formatCode>#,##0</c:formatCode>
                <c:ptCount val="10"/>
                <c:pt idx="0">
                  <c:v>40.238302950000005</c:v>
                </c:pt>
                <c:pt idx="1">
                  <c:v>58.625473110000001</c:v>
                </c:pt>
                <c:pt idx="2">
                  <c:v>69.757347590000009</c:v>
                </c:pt>
                <c:pt idx="3">
                  <c:v>35.546012609999998</c:v>
                </c:pt>
                <c:pt idx="4">
                  <c:v>22.306269600000004</c:v>
                </c:pt>
                <c:pt idx="5">
                  <c:v>0.19030795</c:v>
                </c:pt>
                <c:pt idx="6">
                  <c:v>13.600236600000001</c:v>
                </c:pt>
                <c:pt idx="7">
                  <c:v>6.8446676900000005</c:v>
                </c:pt>
                <c:pt idx="8">
                  <c:v>5.2245659999999999E-2</c:v>
                </c:pt>
                <c:pt idx="9">
                  <c:v>0.12713984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gapDepth val="102"/>
        <c:shape val="cylinder"/>
        <c:axId val="93803264"/>
        <c:axId val="104887424"/>
        <c:axId val="0"/>
      </c:bar3DChart>
      <c:catAx>
        <c:axId val="93803264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</c:spPr>
        <c:txPr>
          <a:bodyPr/>
          <a:lstStyle/>
          <a:p>
            <a:pPr>
              <a:defRPr sz="800"/>
            </a:pPr>
            <a:endParaRPr lang="ru-RU"/>
          </a:p>
        </c:txPr>
        <c:crossAx val="104887424"/>
        <c:crossesAt val="0"/>
        <c:auto val="1"/>
        <c:lblAlgn val="ctr"/>
        <c:lblOffset val="100"/>
        <c:noMultiLvlLbl val="0"/>
      </c:catAx>
      <c:valAx>
        <c:axId val="104887424"/>
        <c:scaling>
          <c:orientation val="minMax"/>
          <c:max val="25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ru-RU" sz="1100"/>
                  <a:t>млн. долларов США</a:t>
                </a:r>
              </a:p>
            </c:rich>
          </c:tx>
          <c:layout>
            <c:manualLayout>
              <c:xMode val="edge"/>
              <c:yMode val="edge"/>
              <c:x val="2.3954118077012525E-2"/>
              <c:y val="0.2283006738852984"/>
            </c:manualLayout>
          </c:layout>
          <c:overlay val="0"/>
        </c:title>
        <c:numFmt formatCode="#,##0" sourceLinked="1"/>
        <c:majorTickMark val="out"/>
        <c:minorTickMark val="none"/>
        <c:tickLblPos val="nextTo"/>
        <c:crossAx val="93803264"/>
        <c:crosses val="autoZero"/>
        <c:crossBetween val="between"/>
        <c:majorUnit val="50"/>
      </c:valAx>
    </c:plotArea>
    <c:legend>
      <c:legendPos val="t"/>
      <c:layout/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13888888888889"/>
          <c:y val="1.2030806210825289E-2"/>
          <c:w val="0.66351199521112492"/>
          <c:h val="0.93191417807886956"/>
        </c:manualLayout>
      </c:layout>
      <c:pieChart>
        <c:varyColors val="1"/>
        <c:ser>
          <c:idx val="0"/>
          <c:order val="0"/>
          <c:explosion val="18"/>
          <c:dPt>
            <c:idx val="0"/>
            <c:bubble3D val="0"/>
            <c:explosion val="3"/>
          </c:dPt>
          <c:dPt>
            <c:idx val="1"/>
            <c:bubble3D val="0"/>
            <c:explosion val="2"/>
          </c:dPt>
          <c:dPt>
            <c:idx val="2"/>
            <c:bubble3D val="0"/>
            <c:explosion val="3"/>
          </c:dPt>
          <c:dPt>
            <c:idx val="3"/>
            <c:bubble3D val="0"/>
            <c:explosion val="2"/>
          </c:dPt>
          <c:dPt>
            <c:idx val="4"/>
            <c:bubble3D val="0"/>
            <c:explosion val="2"/>
          </c:dPt>
          <c:dPt>
            <c:idx val="5"/>
            <c:bubble3D val="0"/>
            <c:explosion val="3"/>
          </c:dPt>
          <c:dLbls>
            <c:dLbl>
              <c:idx val="0"/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 sz="1100" b="1" baseline="0">
                      <a:solidFill>
                        <a:schemeClr val="bg1"/>
                      </a:solidFill>
                      <a:latin typeface="Times New Roman" panose="02020603050405020304" pitchFamily="18" charset="0"/>
                    </a:defRPr>
                  </a:pPr>
                  <a:endParaRPr lang="ru-RU"/>
                </a:p>
              </c:txPr>
              <c:dLblPos val="ctr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1335188319837786"/>
                  <c:y val="-0.20382697129301791"/>
                </c:manualLayout>
              </c:layout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 sz="1050" b="1" baseline="0">
                      <a:solidFill>
                        <a:schemeClr val="bg1"/>
                      </a:solidFill>
                      <a:latin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310324652413345E-2"/>
                  <c:y val="6.0734555831527773E-2"/>
                </c:manualLayout>
              </c:layout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 sz="11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358073434241046E-2"/>
                  <c:y val="6.2404716188999808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931956534361167E-2"/>
                  <c:y val="-6.2538826941934272E-3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</c:spPr>
              <c:txPr>
                <a:bodyPr/>
                <a:lstStyle/>
                <a:p>
                  <a:pPr>
                    <a:defRPr sz="11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852592589284251E-2"/>
                  <c:y val="-3.6291638041889056E-2"/>
                </c:manualLayout>
              </c:layout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 sz="11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110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Экспорт!$D$17:$D$22</c:f>
              <c:strCache>
                <c:ptCount val="6"/>
                <c:pt idx="0">
                  <c:v>Минеральные продукты - 57,4%</c:v>
                </c:pt>
                <c:pt idx="1">
                  <c:v>Продовольственные товары и  сырье - 22,1%</c:v>
                </c:pt>
                <c:pt idx="2">
                  <c:v>Продукция химической промышленности,каучук - 10,2%</c:v>
                </c:pt>
                <c:pt idx="3">
                  <c:v>Текстиль,текстильные изделия и обувь - 3,9%</c:v>
                </c:pt>
                <c:pt idx="4">
                  <c:v>Машиностроительная продукция - 2,5%</c:v>
                </c:pt>
                <c:pt idx="5">
                  <c:v>Прочие товары  - 3,9%</c:v>
                </c:pt>
              </c:strCache>
            </c:strRef>
          </c:cat>
          <c:val>
            <c:numRef>
              <c:f>Экспорт!$E$17:$E$22</c:f>
              <c:numCache>
                <c:formatCode>General</c:formatCode>
                <c:ptCount val="6"/>
                <c:pt idx="0">
                  <c:v>57.4</c:v>
                </c:pt>
                <c:pt idx="1">
                  <c:v>22.1</c:v>
                </c:pt>
                <c:pt idx="2">
                  <c:v>10.199999999999999</c:v>
                </c:pt>
                <c:pt idx="3">
                  <c:v>3.9</c:v>
                </c:pt>
                <c:pt idx="4">
                  <c:v>2.5</c:v>
                </c:pt>
                <c:pt idx="5" formatCode="0.0">
                  <c:v>3.9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1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9268802228412255"/>
          <c:y val="4.0991573421743338E-2"/>
          <c:w val="0.59701306487106942"/>
          <c:h val="0.90243238016300598"/>
        </c:manualLayout>
      </c:layout>
      <c:pieChart>
        <c:varyColors val="1"/>
        <c:ser>
          <c:idx val="0"/>
          <c:order val="0"/>
          <c:explosion val="5"/>
          <c:dLbls>
            <c:dLbl>
              <c:idx val="0"/>
              <c:layout>
                <c:manualLayout>
                  <c:x val="-0.11015019742810472"/>
                  <c:y val="0.17134568705227635"/>
                </c:manualLayout>
              </c:layout>
              <c:tx>
                <c:rich>
                  <a:bodyPr rot="0"/>
                  <a:lstStyle/>
                  <a:p>
                    <a:pPr>
                      <a:defRPr sz="1100" b="1">
                        <a:solidFill>
                          <a:schemeClr val="bg1"/>
                        </a:solidFill>
                      </a:defRPr>
                    </a:pPr>
                    <a:r>
                      <a:rPr lang="ru-RU"/>
                      <a:t>Продукция химической промышленности, каучук - 40,0%</a:t>
                    </a:r>
                  </a:p>
                </c:rich>
              </c:tx>
              <c:numFmt formatCode="#,##0.0" sourceLinked="0"/>
              <c:spPr>
                <a:ln>
                  <a:noFill/>
                </a:ln>
              </c:sp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6217997601194484"/>
                  <c:y val="-0.21459357054052455"/>
                </c:manualLayout>
              </c:layout>
              <c:numFmt formatCode="#,##0.0" sourceLinked="0"/>
              <c:spPr>
                <a:ln>
                  <a:noFill/>
                </a:ln>
              </c:spPr>
              <c:txPr>
                <a:bodyPr rot="0"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1368280754170145E-2"/>
                  <c:y val="-4.3859895802498369E-2"/>
                </c:manualLayout>
              </c:layout>
              <c:tx>
                <c:rich>
                  <a:bodyPr rot="0"/>
                  <a:lstStyle/>
                  <a:p>
                    <a:pPr>
                      <a:defRPr sz="110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/>
                      <a:t>Продовольственные товары и  сырье - 10,0%</a:t>
                    </a:r>
                  </a:p>
                </c:rich>
              </c:tx>
              <c:numFmt formatCode="#,##0.0" sourceLinked="0"/>
              <c:spPr>
                <a:ln>
                  <a:noFill/>
                </a:ln>
              </c:sp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1913632565313022E-2"/>
                  <c:y val="-5.9767035699484931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239269296109367E-2"/>
                  <c:y val="-9.9267607996368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Текстиль,текстильные изделия и обувь - 6,0%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7203855979235199E-2"/>
                  <c:y val="-9.9941290233457686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numFmt formatCode="#,##0.0" sourceLinked="0"/>
            <c:spPr>
              <a:ln>
                <a:noFill/>
              </a:ln>
            </c:spPr>
            <c:txPr>
              <a:bodyPr rot="0"/>
              <a:lstStyle/>
              <a:p>
                <a:pPr>
                  <a:defRPr sz="110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Импорт!$D$17:$D$22</c:f>
              <c:strCache>
                <c:ptCount val="6"/>
                <c:pt idx="0">
                  <c:v>Продукция химической промышленности, каучук - 40%</c:v>
                </c:pt>
                <c:pt idx="1">
                  <c:v>Машиностроительная продукция - 29,1%</c:v>
                </c:pt>
                <c:pt idx="2">
                  <c:v>Продовольственные товары и  сырье - 10%</c:v>
                </c:pt>
                <c:pt idx="3">
                  <c:v>Металлы и изделия из них - 6,8%</c:v>
                </c:pt>
                <c:pt idx="4">
                  <c:v>Текстиль,текстильные изделия и обувь - 6%</c:v>
                </c:pt>
                <c:pt idx="5">
                  <c:v>Прочие товары  - 8,1%</c:v>
                </c:pt>
              </c:strCache>
            </c:strRef>
          </c:cat>
          <c:val>
            <c:numRef>
              <c:f>Импорт!$E$17:$E$22</c:f>
              <c:numCache>
                <c:formatCode>#,##0.0</c:formatCode>
                <c:ptCount val="6"/>
                <c:pt idx="0">
                  <c:v>40</c:v>
                </c:pt>
                <c:pt idx="1">
                  <c:v>29.1</c:v>
                </c:pt>
                <c:pt idx="2">
                  <c:v>10</c:v>
                </c:pt>
                <c:pt idx="3">
                  <c:v>6.8</c:v>
                </c:pt>
                <c:pt idx="4">
                  <c:v>6</c:v>
                </c:pt>
                <c:pt idx="5" formatCode="0.0">
                  <c:v>8.1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00"/>
      </c:pieChart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Яна Корнелиевна</dc:creator>
  <cp:lastModifiedBy>Баркова Полина Андреевна</cp:lastModifiedBy>
  <cp:revision>34</cp:revision>
  <cp:lastPrinted>2020-12-09T06:51:00Z</cp:lastPrinted>
  <dcterms:created xsi:type="dcterms:W3CDTF">2017-08-22T07:30:00Z</dcterms:created>
  <dcterms:modified xsi:type="dcterms:W3CDTF">2020-12-09T08:14:00Z</dcterms:modified>
</cp:coreProperties>
</file>