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C4D" w:rsidRPr="00365F72" w:rsidRDefault="00390C4D" w:rsidP="00390C4D">
      <w:pPr>
        <w:tabs>
          <w:tab w:val="left" w:pos="1134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365F7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Общие  итоги  внешней  торговли  </w:t>
      </w:r>
      <w:r w:rsidR="00C60B84" w:rsidRPr="00365F7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К</w:t>
      </w:r>
      <w:r w:rsidR="0000132F" w:rsidRPr="00365F7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урской</w:t>
      </w:r>
      <w:r w:rsidR="00ED0BAC" w:rsidRPr="00365F7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области</w:t>
      </w:r>
      <w:r w:rsidRPr="00365F7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</w:p>
    <w:p w:rsidR="00390C4D" w:rsidRPr="00365F72" w:rsidRDefault="005D4C23" w:rsidP="00390C4D">
      <w:pPr>
        <w:tabs>
          <w:tab w:val="left" w:pos="1134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за</w:t>
      </w:r>
      <w:r w:rsidR="00390C4D" w:rsidRPr="00365F7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="003F05A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201</w:t>
      </w:r>
      <w:r w:rsidR="00AE49C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9</w:t>
      </w:r>
      <w:r w:rsidR="00390C4D" w:rsidRPr="00365F7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год</w:t>
      </w:r>
    </w:p>
    <w:tbl>
      <w:tblPr>
        <w:tblW w:w="10120" w:type="dxa"/>
        <w:tblInd w:w="93" w:type="dxa"/>
        <w:tblLook w:val="04A0" w:firstRow="1" w:lastRow="0" w:firstColumn="1" w:lastColumn="0" w:noHBand="0" w:noVBand="1"/>
      </w:tblPr>
      <w:tblGrid>
        <w:gridCol w:w="1956"/>
        <w:gridCol w:w="1420"/>
        <w:gridCol w:w="1381"/>
        <w:gridCol w:w="1358"/>
        <w:gridCol w:w="1290"/>
        <w:gridCol w:w="1284"/>
        <w:gridCol w:w="1431"/>
      </w:tblGrid>
      <w:tr w:rsidR="00AE49CF" w:rsidRPr="00AE49CF" w:rsidTr="00AE49CF">
        <w:trPr>
          <w:trHeight w:val="255"/>
        </w:trPr>
        <w:tc>
          <w:tcPr>
            <w:tcW w:w="101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49CF" w:rsidRPr="00AE49CF" w:rsidRDefault="00AE49CF" w:rsidP="00AE49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49CF">
              <w:rPr>
                <w:rFonts w:ascii="Times New Roman" w:eastAsia="Times New Roman" w:hAnsi="Times New Roman" w:cs="Times New Roman"/>
                <w:bCs/>
                <w:lang w:eastAsia="ru-RU"/>
              </w:rPr>
              <w:t>(тыс. долларов США)</w:t>
            </w:r>
          </w:p>
        </w:tc>
      </w:tr>
      <w:tr w:rsidR="00AE49CF" w:rsidRPr="00AE49CF" w:rsidTr="00AE49CF">
        <w:trPr>
          <w:trHeight w:val="600"/>
        </w:trPr>
        <w:tc>
          <w:tcPr>
            <w:tcW w:w="1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AE49CF" w:rsidRPr="00AE49CF" w:rsidRDefault="00AE49CF" w:rsidP="00AE4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49CF">
              <w:rPr>
                <w:rFonts w:ascii="Times New Roman" w:eastAsia="Times New Roman" w:hAnsi="Times New Roman" w:cs="Times New Roman"/>
                <w:bCs/>
                <w:lang w:eastAsia="ru-RU"/>
              </w:rPr>
              <w:t>Показатели итогов внешней торговли</w:t>
            </w:r>
          </w:p>
        </w:tc>
        <w:tc>
          <w:tcPr>
            <w:tcW w:w="28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AE49CF" w:rsidRPr="00AE49CF" w:rsidRDefault="00AE49CF" w:rsidP="00AE4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49CF">
              <w:rPr>
                <w:rFonts w:ascii="Times New Roman" w:eastAsia="Times New Roman" w:hAnsi="Times New Roman" w:cs="Times New Roman"/>
                <w:bCs/>
                <w:lang w:eastAsia="ru-RU"/>
              </w:rPr>
              <w:t>2018 год</w:t>
            </w:r>
          </w:p>
        </w:tc>
        <w:tc>
          <w:tcPr>
            <w:tcW w:w="26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AE49CF" w:rsidRPr="00AE49CF" w:rsidRDefault="00AE49CF" w:rsidP="00AE4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49CF">
              <w:rPr>
                <w:rFonts w:ascii="Times New Roman" w:eastAsia="Times New Roman" w:hAnsi="Times New Roman" w:cs="Times New Roman"/>
                <w:bCs/>
                <w:lang w:eastAsia="ru-RU"/>
              </w:rPr>
              <w:t>2019 год</w:t>
            </w:r>
          </w:p>
        </w:tc>
        <w:tc>
          <w:tcPr>
            <w:tcW w:w="271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AE49CF" w:rsidRPr="00AE49CF" w:rsidRDefault="00AE49CF" w:rsidP="00AE4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49CF">
              <w:rPr>
                <w:rFonts w:ascii="Times New Roman" w:eastAsia="Times New Roman" w:hAnsi="Times New Roman" w:cs="Times New Roman"/>
                <w:bCs/>
                <w:lang w:eastAsia="ru-RU"/>
              </w:rPr>
              <w:t>Темп роста, %</w:t>
            </w:r>
          </w:p>
        </w:tc>
      </w:tr>
      <w:tr w:rsidR="00AE49CF" w:rsidRPr="00AE49CF" w:rsidTr="00AE49CF">
        <w:trPr>
          <w:trHeight w:val="998"/>
        </w:trPr>
        <w:tc>
          <w:tcPr>
            <w:tcW w:w="1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E49CF" w:rsidRPr="00AE49CF" w:rsidRDefault="00AE49CF" w:rsidP="00AE49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AE49CF" w:rsidRPr="00AE49CF" w:rsidRDefault="00AE49CF" w:rsidP="00AE4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49CF">
              <w:rPr>
                <w:rFonts w:ascii="Times New Roman" w:eastAsia="Times New Roman" w:hAnsi="Times New Roman" w:cs="Times New Roman"/>
                <w:bCs/>
                <w:lang w:eastAsia="ru-RU"/>
              </w:rPr>
              <w:t>4 квартал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AE49CF" w:rsidRPr="00AE49CF" w:rsidRDefault="00AE49CF" w:rsidP="00AE4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49CF">
              <w:rPr>
                <w:rFonts w:ascii="Times New Roman" w:eastAsia="Times New Roman" w:hAnsi="Times New Roman" w:cs="Times New Roman"/>
                <w:bCs/>
                <w:lang w:eastAsia="ru-RU"/>
              </w:rPr>
              <w:t>январь -декабрь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AE49CF" w:rsidRPr="00AE49CF" w:rsidRDefault="00AE49CF" w:rsidP="00AE4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49CF">
              <w:rPr>
                <w:rFonts w:ascii="Times New Roman" w:eastAsia="Times New Roman" w:hAnsi="Times New Roman" w:cs="Times New Roman"/>
                <w:bCs/>
                <w:lang w:eastAsia="ru-RU"/>
              </w:rPr>
              <w:t>4 квартал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AE49CF" w:rsidRPr="00AE49CF" w:rsidRDefault="00AE49CF" w:rsidP="00AE4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49CF">
              <w:rPr>
                <w:rFonts w:ascii="Times New Roman" w:eastAsia="Times New Roman" w:hAnsi="Times New Roman" w:cs="Times New Roman"/>
                <w:bCs/>
                <w:lang w:eastAsia="ru-RU"/>
              </w:rPr>
              <w:t>январь -декабрь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AE49CF" w:rsidRPr="00AE49CF" w:rsidRDefault="00AE49CF" w:rsidP="00AE4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49CF">
              <w:rPr>
                <w:rFonts w:ascii="Times New Roman" w:eastAsia="Times New Roman" w:hAnsi="Times New Roman" w:cs="Times New Roman"/>
                <w:bCs/>
                <w:lang w:eastAsia="ru-RU"/>
              </w:rPr>
              <w:t>4 квартал 2019/4 квартал 2018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AE49CF" w:rsidRPr="00AE49CF" w:rsidRDefault="00AE49CF" w:rsidP="00AE4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49CF">
              <w:rPr>
                <w:rFonts w:ascii="Times New Roman" w:eastAsia="Times New Roman" w:hAnsi="Times New Roman" w:cs="Times New Roman"/>
                <w:bCs/>
                <w:lang w:eastAsia="ru-RU"/>
              </w:rPr>
              <w:t>январь -декабрь 2019/январь -декабрь 2018</w:t>
            </w:r>
          </w:p>
        </w:tc>
      </w:tr>
      <w:tr w:rsidR="00AE49CF" w:rsidRPr="00AE49CF" w:rsidTr="00AE49CF">
        <w:trPr>
          <w:trHeight w:val="360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9CF" w:rsidRPr="00AE49CF" w:rsidRDefault="00AE49CF" w:rsidP="00AE49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49CF">
              <w:rPr>
                <w:rFonts w:ascii="Times New Roman" w:eastAsia="Times New Roman" w:hAnsi="Times New Roman" w:cs="Times New Roman"/>
                <w:lang w:eastAsia="ru-RU"/>
              </w:rPr>
              <w:t>ТОВАРООБОРОТ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9CF" w:rsidRPr="00AE49CF" w:rsidRDefault="00AE49CF" w:rsidP="00AE49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49CF">
              <w:rPr>
                <w:rFonts w:ascii="Times New Roman" w:eastAsia="Times New Roman" w:hAnsi="Times New Roman" w:cs="Times New Roman"/>
                <w:lang w:eastAsia="ru-RU"/>
              </w:rPr>
              <w:t>338 512,0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9CF" w:rsidRPr="00AE49CF" w:rsidRDefault="00AE49CF" w:rsidP="00AE49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49CF">
              <w:rPr>
                <w:rFonts w:ascii="Times New Roman" w:eastAsia="Times New Roman" w:hAnsi="Times New Roman" w:cs="Times New Roman"/>
                <w:lang w:eastAsia="ru-RU"/>
              </w:rPr>
              <w:t>1 205 949,4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9CF" w:rsidRPr="00AE49CF" w:rsidRDefault="00AE49CF" w:rsidP="00AE49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49CF">
              <w:rPr>
                <w:rFonts w:ascii="Times New Roman" w:eastAsia="Times New Roman" w:hAnsi="Times New Roman" w:cs="Times New Roman"/>
                <w:lang w:eastAsia="ru-RU"/>
              </w:rPr>
              <w:t>403 455,6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9CF" w:rsidRPr="00AE49CF" w:rsidRDefault="00AE49CF" w:rsidP="00AE49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49CF">
              <w:rPr>
                <w:rFonts w:ascii="Times New Roman" w:eastAsia="Times New Roman" w:hAnsi="Times New Roman" w:cs="Times New Roman"/>
                <w:lang w:eastAsia="ru-RU"/>
              </w:rPr>
              <w:t>1 392 946,0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9CF" w:rsidRPr="00AE49CF" w:rsidRDefault="00AE49CF" w:rsidP="00AE49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49CF">
              <w:rPr>
                <w:rFonts w:ascii="Times New Roman" w:eastAsia="Times New Roman" w:hAnsi="Times New Roman" w:cs="Times New Roman"/>
                <w:lang w:eastAsia="ru-RU"/>
              </w:rPr>
              <w:t>119,2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9CF" w:rsidRPr="00AE49CF" w:rsidRDefault="00AE49CF" w:rsidP="00AE49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49CF">
              <w:rPr>
                <w:rFonts w:ascii="Times New Roman" w:eastAsia="Times New Roman" w:hAnsi="Times New Roman" w:cs="Times New Roman"/>
                <w:lang w:eastAsia="ru-RU"/>
              </w:rPr>
              <w:t>115,5</w:t>
            </w:r>
          </w:p>
        </w:tc>
      </w:tr>
      <w:tr w:rsidR="00AE49CF" w:rsidRPr="00AE49CF" w:rsidTr="00AE49CF">
        <w:trPr>
          <w:trHeight w:val="360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9CF" w:rsidRPr="00AE49CF" w:rsidRDefault="00AE49CF" w:rsidP="00AE49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49CF">
              <w:rPr>
                <w:rFonts w:ascii="Times New Roman" w:eastAsia="Times New Roman" w:hAnsi="Times New Roman" w:cs="Times New Roman"/>
                <w:lang w:eastAsia="ru-RU"/>
              </w:rPr>
              <w:t>ЭКСПОРТ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9CF" w:rsidRPr="00AE49CF" w:rsidRDefault="00AE49CF" w:rsidP="00AE49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49CF">
              <w:rPr>
                <w:rFonts w:ascii="Times New Roman" w:eastAsia="Times New Roman" w:hAnsi="Times New Roman" w:cs="Times New Roman"/>
                <w:lang w:eastAsia="ru-RU"/>
              </w:rPr>
              <w:t>219 579,7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9CF" w:rsidRPr="00AE49CF" w:rsidRDefault="00AE49CF" w:rsidP="00AE49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49CF">
              <w:rPr>
                <w:rFonts w:ascii="Times New Roman" w:eastAsia="Times New Roman" w:hAnsi="Times New Roman" w:cs="Times New Roman"/>
                <w:lang w:eastAsia="ru-RU"/>
              </w:rPr>
              <w:t>683 512,6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9CF" w:rsidRPr="00AE49CF" w:rsidRDefault="00AE49CF" w:rsidP="00AE49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49CF">
              <w:rPr>
                <w:rFonts w:ascii="Times New Roman" w:eastAsia="Times New Roman" w:hAnsi="Times New Roman" w:cs="Times New Roman"/>
                <w:lang w:eastAsia="ru-RU"/>
              </w:rPr>
              <w:t>214 561,1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9CF" w:rsidRPr="00AE49CF" w:rsidRDefault="00AE49CF" w:rsidP="00AE49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49CF">
              <w:rPr>
                <w:rFonts w:ascii="Times New Roman" w:eastAsia="Times New Roman" w:hAnsi="Times New Roman" w:cs="Times New Roman"/>
                <w:lang w:eastAsia="ru-RU"/>
              </w:rPr>
              <w:t>792 453,5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9CF" w:rsidRPr="00AE49CF" w:rsidRDefault="00AE49CF" w:rsidP="00AE49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49CF">
              <w:rPr>
                <w:rFonts w:ascii="Times New Roman" w:eastAsia="Times New Roman" w:hAnsi="Times New Roman" w:cs="Times New Roman"/>
                <w:lang w:eastAsia="ru-RU"/>
              </w:rPr>
              <w:t>97,7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9CF" w:rsidRPr="00AE49CF" w:rsidRDefault="00AE49CF" w:rsidP="00AE49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49CF">
              <w:rPr>
                <w:rFonts w:ascii="Times New Roman" w:eastAsia="Times New Roman" w:hAnsi="Times New Roman" w:cs="Times New Roman"/>
                <w:lang w:eastAsia="ru-RU"/>
              </w:rPr>
              <w:t>115,9</w:t>
            </w:r>
          </w:p>
        </w:tc>
      </w:tr>
      <w:tr w:rsidR="00AE49CF" w:rsidRPr="00AE49CF" w:rsidTr="00AE49CF">
        <w:trPr>
          <w:trHeight w:val="360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9CF" w:rsidRPr="00AE49CF" w:rsidRDefault="00AE49CF" w:rsidP="00AE49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49CF">
              <w:rPr>
                <w:rFonts w:ascii="Times New Roman" w:eastAsia="Times New Roman" w:hAnsi="Times New Roman" w:cs="Times New Roman"/>
                <w:lang w:eastAsia="ru-RU"/>
              </w:rPr>
              <w:t>ИМПОРТ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9CF" w:rsidRPr="00AE49CF" w:rsidRDefault="00AE49CF" w:rsidP="00AE49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49CF">
              <w:rPr>
                <w:rFonts w:ascii="Times New Roman" w:eastAsia="Times New Roman" w:hAnsi="Times New Roman" w:cs="Times New Roman"/>
                <w:lang w:eastAsia="ru-RU"/>
              </w:rPr>
              <w:t>118 932,3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9CF" w:rsidRPr="00AE49CF" w:rsidRDefault="00AE49CF" w:rsidP="00AE49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49CF">
              <w:rPr>
                <w:rFonts w:ascii="Times New Roman" w:eastAsia="Times New Roman" w:hAnsi="Times New Roman" w:cs="Times New Roman"/>
                <w:lang w:eastAsia="ru-RU"/>
              </w:rPr>
              <w:t>522 436,8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9CF" w:rsidRPr="00AE49CF" w:rsidRDefault="00AE49CF" w:rsidP="00AE49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49CF">
              <w:rPr>
                <w:rFonts w:ascii="Times New Roman" w:eastAsia="Times New Roman" w:hAnsi="Times New Roman" w:cs="Times New Roman"/>
                <w:lang w:eastAsia="ru-RU"/>
              </w:rPr>
              <w:t>188 894,5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9CF" w:rsidRPr="00AE49CF" w:rsidRDefault="00AE49CF" w:rsidP="00AE49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49CF">
              <w:rPr>
                <w:rFonts w:ascii="Times New Roman" w:eastAsia="Times New Roman" w:hAnsi="Times New Roman" w:cs="Times New Roman"/>
                <w:lang w:eastAsia="ru-RU"/>
              </w:rPr>
              <w:t>600 492,5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9CF" w:rsidRPr="00AE49CF" w:rsidRDefault="00AE49CF" w:rsidP="00AE49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49CF">
              <w:rPr>
                <w:rFonts w:ascii="Times New Roman" w:eastAsia="Times New Roman" w:hAnsi="Times New Roman" w:cs="Times New Roman"/>
                <w:lang w:eastAsia="ru-RU"/>
              </w:rPr>
              <w:t>158,8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9CF" w:rsidRPr="00AE49CF" w:rsidRDefault="00AE49CF" w:rsidP="00AE49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49CF">
              <w:rPr>
                <w:rFonts w:ascii="Times New Roman" w:eastAsia="Times New Roman" w:hAnsi="Times New Roman" w:cs="Times New Roman"/>
                <w:lang w:eastAsia="ru-RU"/>
              </w:rPr>
              <w:t>114,9</w:t>
            </w:r>
          </w:p>
        </w:tc>
      </w:tr>
      <w:tr w:rsidR="00AE49CF" w:rsidRPr="00AE49CF" w:rsidTr="00AE49CF">
        <w:trPr>
          <w:trHeight w:val="360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9CF" w:rsidRPr="00AE49CF" w:rsidRDefault="00AE49CF" w:rsidP="00AE49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49CF">
              <w:rPr>
                <w:rFonts w:ascii="Times New Roman" w:eastAsia="Times New Roman" w:hAnsi="Times New Roman" w:cs="Times New Roman"/>
                <w:lang w:eastAsia="ru-RU"/>
              </w:rPr>
              <w:t>САЛЬДО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9CF" w:rsidRPr="00AE49CF" w:rsidRDefault="00AE49CF" w:rsidP="00AE49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49CF">
              <w:rPr>
                <w:rFonts w:ascii="Times New Roman" w:eastAsia="Times New Roman" w:hAnsi="Times New Roman" w:cs="Times New Roman"/>
                <w:lang w:eastAsia="ru-RU"/>
              </w:rPr>
              <w:t>100 647,4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9CF" w:rsidRPr="00AE49CF" w:rsidRDefault="00AE49CF" w:rsidP="00AE49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49CF">
              <w:rPr>
                <w:rFonts w:ascii="Times New Roman" w:eastAsia="Times New Roman" w:hAnsi="Times New Roman" w:cs="Times New Roman"/>
                <w:lang w:eastAsia="ru-RU"/>
              </w:rPr>
              <w:t>161 075,8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9CF" w:rsidRPr="00AE49CF" w:rsidRDefault="00AE49CF" w:rsidP="00AE49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49CF">
              <w:rPr>
                <w:rFonts w:ascii="Times New Roman" w:eastAsia="Times New Roman" w:hAnsi="Times New Roman" w:cs="Times New Roman"/>
                <w:lang w:eastAsia="ru-RU"/>
              </w:rPr>
              <w:t>25 666,6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9CF" w:rsidRPr="00AE49CF" w:rsidRDefault="00AE49CF" w:rsidP="007D2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49CF">
              <w:rPr>
                <w:rFonts w:ascii="Times New Roman" w:eastAsia="Times New Roman" w:hAnsi="Times New Roman" w:cs="Times New Roman"/>
                <w:lang w:eastAsia="ru-RU"/>
              </w:rPr>
              <w:t>191 961,</w:t>
            </w:r>
            <w:r w:rsidR="007D2EA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bookmarkStart w:id="0" w:name="_GoBack"/>
            <w:bookmarkEnd w:id="0"/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9CF" w:rsidRPr="00AE49CF" w:rsidRDefault="00AE49CF" w:rsidP="00AE49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49CF">
              <w:rPr>
                <w:rFonts w:ascii="Times New Roman" w:eastAsia="Times New Roman" w:hAnsi="Times New Roman" w:cs="Times New Roman"/>
                <w:lang w:eastAsia="ru-RU"/>
              </w:rPr>
              <w:t>ХХХ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9CF" w:rsidRPr="00AE49CF" w:rsidRDefault="00AE49CF" w:rsidP="00AE49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49CF">
              <w:rPr>
                <w:rFonts w:ascii="Times New Roman" w:eastAsia="Times New Roman" w:hAnsi="Times New Roman" w:cs="Times New Roman"/>
                <w:lang w:eastAsia="ru-RU"/>
              </w:rPr>
              <w:t>ХХХ</w:t>
            </w:r>
          </w:p>
        </w:tc>
      </w:tr>
    </w:tbl>
    <w:p w:rsidR="00AE49CF" w:rsidRDefault="00AE49CF" w:rsidP="006663A3">
      <w:pPr>
        <w:tabs>
          <w:tab w:val="left" w:pos="1134"/>
        </w:tabs>
        <w:spacing w:after="0" w:line="312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029D" w:rsidRPr="00AE49CF" w:rsidRDefault="0071029D" w:rsidP="004665AB">
      <w:pPr>
        <w:tabs>
          <w:tab w:val="left" w:pos="1134"/>
        </w:tabs>
        <w:spacing w:after="0" w:line="312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данным таможенной статистики в течение </w:t>
      </w:r>
      <w:r w:rsidR="00C94236" w:rsidRPr="00AE49CF">
        <w:rPr>
          <w:rFonts w:ascii="Times New Roman" w:eastAsia="Times New Roman" w:hAnsi="Times New Roman" w:cs="Times New Roman"/>
          <w:sz w:val="24"/>
          <w:szCs w:val="24"/>
          <w:lang w:eastAsia="ru-RU"/>
        </w:rPr>
        <w:t>2019</w:t>
      </w:r>
      <w:r w:rsidRPr="00AE4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предприятия и организации, зарегистрированные в К</w:t>
      </w:r>
      <w:r w:rsidR="00DE443D" w:rsidRPr="00AE49CF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AE4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рской области, осуществляли торговлю с </w:t>
      </w:r>
      <w:r w:rsidR="000968EC" w:rsidRPr="00AE49CF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AE49CF" w:rsidRPr="00AE49CF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AE4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стран</w:t>
      </w:r>
      <w:r w:rsidR="009E54AE" w:rsidRPr="00AE49CF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Pr="00AE4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мира. Их количество </w:t>
      </w:r>
      <w:r w:rsidR="00AE49CF" w:rsidRPr="00AE49CF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увеличилось</w:t>
      </w:r>
      <w:r w:rsidRPr="00AE4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отношению к </w:t>
      </w:r>
      <w:r w:rsidR="00A174A7" w:rsidRPr="00AE49CF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5D5B4C" w:rsidRPr="00AE49CF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AE4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AE49CF" w:rsidRPr="00AE49CF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AE4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 w:rsidR="00AE49CF" w:rsidRPr="00AE49CF">
        <w:rPr>
          <w:rFonts w:ascii="Times New Roman" w:eastAsia="Times New Roman" w:hAnsi="Times New Roman" w:cs="Times New Roman"/>
          <w:sz w:val="24"/>
          <w:szCs w:val="24"/>
          <w:lang w:eastAsia="ru-RU"/>
        </w:rPr>
        <w:t>5,4</w:t>
      </w:r>
      <w:r w:rsidRPr="00AE4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(на </w:t>
      </w:r>
      <w:r w:rsidR="00AE49CF" w:rsidRPr="00AE49CF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AE4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стран).</w:t>
      </w:r>
    </w:p>
    <w:p w:rsidR="00207E52" w:rsidRPr="004665AB" w:rsidRDefault="00207E52" w:rsidP="004665AB">
      <w:pPr>
        <w:tabs>
          <w:tab w:val="left" w:pos="1134"/>
        </w:tabs>
        <w:spacing w:after="0" w:line="312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Внешнеторговый оборот </w:t>
      </w:r>
      <w:r w:rsidR="00F2094A" w:rsidRPr="004665AB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627592" w:rsidRPr="004665AB">
        <w:rPr>
          <w:rFonts w:ascii="Times New Roman" w:eastAsia="Times New Roman" w:hAnsi="Times New Roman" w:cs="Times New Roman"/>
          <w:sz w:val="24"/>
          <w:szCs w:val="24"/>
          <w:lang w:eastAsia="ru-RU"/>
        </w:rPr>
        <w:t>урской</w:t>
      </w:r>
      <w:r w:rsidR="00ED0BAC" w:rsidRPr="00466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 </w:t>
      </w:r>
      <w:r w:rsidRPr="00466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истекший период </w:t>
      </w:r>
      <w:r w:rsidR="00963A36" w:rsidRPr="004665A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</w:t>
      </w:r>
      <w:r w:rsidR="00EF3D34" w:rsidRPr="00466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 </w:t>
      </w:r>
      <w:r w:rsidR="004665AB" w:rsidRPr="004665AB">
        <w:rPr>
          <w:rFonts w:ascii="Times New Roman" w:eastAsia="Times New Roman" w:hAnsi="Times New Roman" w:cs="Times New Roman"/>
          <w:sz w:val="24"/>
          <w:szCs w:val="24"/>
          <w:lang w:eastAsia="ru-RU"/>
        </w:rPr>
        <w:t>139</w:t>
      </w:r>
      <w:r w:rsidR="00956638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4665AB" w:rsidRPr="004665A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56638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466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</w:t>
      </w:r>
      <w:r w:rsidR="00963A36" w:rsidRPr="004665AB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4665AB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долларов США</w:t>
      </w:r>
      <w:r w:rsidR="00EF3D34" w:rsidRPr="00466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="00963A36" w:rsidRPr="00466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66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сравнению с </w:t>
      </w:r>
      <w:r w:rsidR="00A174A7" w:rsidRPr="004665AB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5D5B4C" w:rsidRPr="004665AB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466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4665AB" w:rsidRPr="004665AB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466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5BBF" w:rsidRPr="004665AB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возрос</w:t>
      </w:r>
      <w:r w:rsidR="00EF3D34" w:rsidRPr="00466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 w:rsidR="004665AB" w:rsidRPr="004665AB">
        <w:rPr>
          <w:rFonts w:ascii="Times New Roman" w:eastAsia="Times New Roman" w:hAnsi="Times New Roman" w:cs="Times New Roman"/>
          <w:sz w:val="24"/>
          <w:szCs w:val="24"/>
          <w:lang w:eastAsia="ru-RU"/>
        </w:rPr>
        <w:t>15,5</w:t>
      </w:r>
      <w:r w:rsidRPr="004665AB">
        <w:rPr>
          <w:rFonts w:ascii="Times New Roman" w:eastAsia="Times New Roman" w:hAnsi="Times New Roman" w:cs="Times New Roman"/>
          <w:sz w:val="24"/>
          <w:szCs w:val="24"/>
          <w:lang w:eastAsia="ru-RU"/>
        </w:rPr>
        <w:t> %.</w:t>
      </w:r>
    </w:p>
    <w:p w:rsidR="00A174A7" w:rsidRPr="004665AB" w:rsidRDefault="00A174A7" w:rsidP="004665AB">
      <w:pPr>
        <w:tabs>
          <w:tab w:val="left" w:pos="1134"/>
        </w:tabs>
        <w:spacing w:after="0" w:line="312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66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Экспорт </w:t>
      </w:r>
      <w:r w:rsidR="00A71546" w:rsidRPr="004665A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составил 792,</w:t>
      </w:r>
      <w:r w:rsidR="00956638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A71546" w:rsidRPr="00466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млн. долларов США </w:t>
      </w:r>
      <w:r w:rsidR="00A71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466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вырос на </w:t>
      </w:r>
      <w:r w:rsidR="004665AB" w:rsidRPr="004665AB">
        <w:rPr>
          <w:rFonts w:ascii="Times New Roman" w:eastAsia="Times New Roman" w:hAnsi="Times New Roman" w:cs="Times New Roman"/>
          <w:sz w:val="24"/>
          <w:szCs w:val="24"/>
          <w:lang w:eastAsia="ru-RU"/>
        </w:rPr>
        <w:t>15,9</w:t>
      </w:r>
      <w:r w:rsidRPr="00466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%  </w:t>
      </w:r>
      <w:r w:rsidRPr="004665AB">
        <w:rPr>
          <w:rFonts w:ascii="Times New Roman" w:eastAsia="Times New Roman" w:hAnsi="Times New Roman" w:cs="Times New Roman"/>
          <w:sz w:val="24"/>
          <w:szCs w:val="20"/>
          <w:lang w:eastAsia="ru-RU"/>
        </w:rPr>
        <w:t>за счет увеличения экспортных поставок  в страны дальнего зарубежья (ДЗ)</w:t>
      </w:r>
      <w:r w:rsidR="00A7154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</w:t>
      </w:r>
      <w:r w:rsidR="00A71546" w:rsidRPr="004665AB">
        <w:rPr>
          <w:rFonts w:ascii="Times New Roman" w:eastAsia="Times New Roman" w:hAnsi="Times New Roman" w:cs="Times New Roman"/>
          <w:sz w:val="24"/>
          <w:szCs w:val="20"/>
          <w:lang w:eastAsia="ru-RU"/>
        </w:rPr>
        <w:t>на 23,8 %</w:t>
      </w:r>
      <w:r w:rsidRPr="004665A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</w:t>
      </w:r>
    </w:p>
    <w:p w:rsidR="00A174A7" w:rsidRPr="004665AB" w:rsidRDefault="00A174A7" w:rsidP="004665AB">
      <w:pPr>
        <w:tabs>
          <w:tab w:val="left" w:pos="1134"/>
        </w:tabs>
        <w:spacing w:after="0" w:line="312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5A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Стоимостные объемы импорта по отношению к 201</w:t>
      </w:r>
      <w:r w:rsidR="005D5B4C" w:rsidRPr="004665AB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4665AB" w:rsidRPr="00466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</w:t>
      </w:r>
      <w:r w:rsidRPr="00466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возросли на </w:t>
      </w:r>
      <w:r w:rsidR="004665AB" w:rsidRPr="004665AB">
        <w:rPr>
          <w:rFonts w:ascii="Times New Roman" w:eastAsia="Times New Roman" w:hAnsi="Times New Roman" w:cs="Times New Roman"/>
          <w:sz w:val="24"/>
          <w:szCs w:val="24"/>
          <w:lang w:eastAsia="ru-RU"/>
        </w:rPr>
        <w:t>14,9</w:t>
      </w:r>
      <w:r w:rsidRPr="00466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% и составили </w:t>
      </w:r>
      <w:r w:rsidR="004665AB" w:rsidRPr="004665AB">
        <w:rPr>
          <w:rFonts w:ascii="Times New Roman" w:eastAsia="Times New Roman" w:hAnsi="Times New Roman" w:cs="Times New Roman"/>
          <w:sz w:val="24"/>
          <w:szCs w:val="24"/>
          <w:lang w:eastAsia="ru-RU"/>
        </w:rPr>
        <w:t>600,5</w:t>
      </w:r>
      <w:r w:rsidRPr="00466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млн. долларов США. </w:t>
      </w:r>
    </w:p>
    <w:p w:rsidR="00A174A7" w:rsidRPr="004665AB" w:rsidRDefault="00A174A7" w:rsidP="004665AB">
      <w:pPr>
        <w:tabs>
          <w:tab w:val="left" w:pos="1134"/>
        </w:tabs>
        <w:spacing w:after="0" w:line="312" w:lineRule="auto"/>
        <w:ind w:firstLine="425"/>
        <w:jc w:val="both"/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</w:pPr>
      <w:r w:rsidRPr="00466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итогам истекшего периода сальдо торгового баланса сложилось положительное и составило  </w:t>
      </w:r>
      <w:r w:rsidR="004665AB" w:rsidRPr="004665AB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="0095663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4665AB" w:rsidRPr="004665A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56638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466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млн. долларов США.</w:t>
      </w:r>
    </w:p>
    <w:p w:rsidR="00A174A7" w:rsidRPr="004665AB" w:rsidRDefault="00A174A7" w:rsidP="004665AB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</w:p>
    <w:p w:rsidR="00A174A7" w:rsidRPr="004665AB" w:rsidRDefault="00A174A7" w:rsidP="004665AB">
      <w:pPr>
        <w:tabs>
          <w:tab w:val="left" w:pos="1134"/>
        </w:tabs>
        <w:spacing w:after="0" w:line="312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65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Итоги внешней торговли Курской области со странами дальнего зарубежья </w:t>
      </w:r>
    </w:p>
    <w:p w:rsidR="00A174A7" w:rsidRPr="004665AB" w:rsidRDefault="00A174A7" w:rsidP="004665AB">
      <w:pPr>
        <w:tabs>
          <w:tab w:val="left" w:pos="1134"/>
        </w:tabs>
        <w:spacing w:after="0" w:line="312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4A7" w:rsidRPr="004665AB" w:rsidRDefault="00A174A7" w:rsidP="004665AB">
      <w:pPr>
        <w:tabs>
          <w:tab w:val="left" w:pos="1134"/>
        </w:tabs>
        <w:spacing w:after="0" w:line="312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Товарооборот Курской области со странами дальнего зарубежья </w:t>
      </w:r>
      <w:r w:rsidR="004665AB" w:rsidRPr="004665A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466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2019 год</w:t>
      </w:r>
      <w:r w:rsidR="004665AB" w:rsidRPr="00466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</w:t>
      </w:r>
      <w:r w:rsidRPr="00466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составил </w:t>
      </w:r>
      <w:r w:rsidR="004665AB" w:rsidRPr="004665AB">
        <w:rPr>
          <w:rFonts w:ascii="Times New Roman" w:eastAsia="Times New Roman" w:hAnsi="Times New Roman" w:cs="Times New Roman"/>
          <w:sz w:val="24"/>
          <w:szCs w:val="24"/>
          <w:lang w:eastAsia="ru-RU"/>
        </w:rPr>
        <w:t>982,9</w:t>
      </w:r>
      <w:r w:rsidRPr="00466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млн. долларов США и по сравнению с 201</w:t>
      </w:r>
      <w:r w:rsidR="005D5B4C" w:rsidRPr="004665AB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4665AB" w:rsidRPr="00466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годом</w:t>
      </w:r>
      <w:r w:rsidRPr="00466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возрос на </w:t>
      </w:r>
      <w:r w:rsidR="004665AB" w:rsidRPr="004665AB">
        <w:rPr>
          <w:rFonts w:ascii="Times New Roman" w:eastAsia="Times New Roman" w:hAnsi="Times New Roman" w:cs="Times New Roman"/>
          <w:sz w:val="24"/>
          <w:szCs w:val="24"/>
          <w:lang w:eastAsia="ru-RU"/>
        </w:rPr>
        <w:t>30,6</w:t>
      </w:r>
      <w:r w:rsidRPr="004665AB">
        <w:rPr>
          <w:rFonts w:ascii="Times New Roman" w:eastAsia="Times New Roman" w:hAnsi="Times New Roman" w:cs="Times New Roman"/>
          <w:sz w:val="24"/>
          <w:szCs w:val="24"/>
          <w:lang w:eastAsia="ru-RU"/>
        </w:rPr>
        <w:t> %.</w:t>
      </w:r>
    </w:p>
    <w:p w:rsidR="00A174A7" w:rsidRPr="004665AB" w:rsidRDefault="00A174A7" w:rsidP="004665AB">
      <w:pPr>
        <w:tabs>
          <w:tab w:val="left" w:pos="1134"/>
        </w:tabs>
        <w:spacing w:after="0" w:line="312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5A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Оборот внешней торговли со странами ДЗ в 2,</w:t>
      </w:r>
      <w:r w:rsidR="004665AB" w:rsidRPr="004665A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466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раза превышает оборот со странами СНГ.</w:t>
      </w:r>
    </w:p>
    <w:p w:rsidR="00A174A7" w:rsidRPr="004665AB" w:rsidRDefault="00A174A7" w:rsidP="004665AB">
      <w:pPr>
        <w:tabs>
          <w:tab w:val="left" w:pos="1134"/>
        </w:tabs>
        <w:spacing w:after="0" w:line="312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Экспорт в страны дальнего зарубежья увеличился на </w:t>
      </w:r>
      <w:r w:rsidR="004665AB" w:rsidRPr="004665AB">
        <w:rPr>
          <w:rFonts w:ascii="Times New Roman" w:eastAsia="Times New Roman" w:hAnsi="Times New Roman" w:cs="Times New Roman"/>
          <w:sz w:val="24"/>
          <w:szCs w:val="24"/>
          <w:lang w:eastAsia="ru-RU"/>
        </w:rPr>
        <w:t>23,8</w:t>
      </w:r>
      <w:r w:rsidRPr="00466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% и составил </w:t>
      </w:r>
      <w:r w:rsidR="004665AB" w:rsidRPr="004665AB">
        <w:rPr>
          <w:rFonts w:ascii="Times New Roman" w:eastAsia="Times New Roman" w:hAnsi="Times New Roman" w:cs="Times New Roman"/>
          <w:sz w:val="24"/>
          <w:szCs w:val="24"/>
          <w:lang w:eastAsia="ru-RU"/>
        </w:rPr>
        <w:t>569,3</w:t>
      </w:r>
      <w:r w:rsidRPr="00466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млн. долларов США. Импорт из стран ДЗ составил </w:t>
      </w:r>
      <w:r w:rsidR="004665AB" w:rsidRPr="00466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413,6 </w:t>
      </w:r>
      <w:r w:rsidRPr="004665AB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млн. долларов США и по отношению к показателям 201</w:t>
      </w:r>
      <w:r w:rsidR="005D5B4C" w:rsidRPr="004665AB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466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возрос на </w:t>
      </w:r>
      <w:r w:rsidR="004665AB" w:rsidRPr="004665AB">
        <w:rPr>
          <w:rFonts w:ascii="Times New Roman" w:eastAsia="Times New Roman" w:hAnsi="Times New Roman" w:cs="Times New Roman"/>
          <w:sz w:val="24"/>
          <w:szCs w:val="24"/>
          <w:lang w:eastAsia="ru-RU"/>
        </w:rPr>
        <w:t>41,3</w:t>
      </w:r>
      <w:r w:rsidRPr="00466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%. </w:t>
      </w:r>
    </w:p>
    <w:p w:rsidR="00A174A7" w:rsidRDefault="00A174A7" w:rsidP="004665AB">
      <w:pPr>
        <w:spacing w:after="0" w:line="312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итогам истекшего периода внешняя торговля со странами дальнего зарубежья характеризуется положительным сальдо – </w:t>
      </w:r>
      <w:r w:rsidR="004665AB" w:rsidRPr="004665AB">
        <w:rPr>
          <w:rFonts w:ascii="Times New Roman" w:eastAsia="Times New Roman" w:hAnsi="Times New Roman" w:cs="Times New Roman"/>
          <w:sz w:val="24"/>
          <w:szCs w:val="24"/>
          <w:lang w:eastAsia="ru-RU"/>
        </w:rPr>
        <w:t>155,7</w:t>
      </w:r>
      <w:r w:rsidRPr="00466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млн. долларов США.</w:t>
      </w:r>
    </w:p>
    <w:p w:rsidR="004665AB" w:rsidRDefault="004665AB" w:rsidP="004665AB">
      <w:pPr>
        <w:spacing w:after="0" w:line="312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5AB" w:rsidRDefault="004665AB" w:rsidP="004665AB">
      <w:pPr>
        <w:spacing w:after="0" w:line="312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5AB" w:rsidRDefault="004665AB" w:rsidP="004665AB">
      <w:pPr>
        <w:spacing w:after="0" w:line="312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5AB" w:rsidRPr="004665AB" w:rsidRDefault="004665AB" w:rsidP="004665AB">
      <w:pPr>
        <w:spacing w:after="0" w:line="312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4A7" w:rsidRPr="00960436" w:rsidRDefault="00A174A7" w:rsidP="004665AB">
      <w:pPr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04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Итоги внешней торговли Курской области со странами СНГ</w:t>
      </w:r>
    </w:p>
    <w:p w:rsidR="00A174A7" w:rsidRPr="00960436" w:rsidRDefault="00A174A7" w:rsidP="004D2ED3">
      <w:pPr>
        <w:tabs>
          <w:tab w:val="left" w:pos="1134"/>
        </w:tabs>
        <w:spacing w:after="0" w:line="312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4A7" w:rsidRPr="00960436" w:rsidRDefault="00A174A7" w:rsidP="004D2ED3">
      <w:pPr>
        <w:tabs>
          <w:tab w:val="left" w:pos="1134"/>
        </w:tabs>
        <w:spacing w:after="0" w:line="312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внешней торговли Курской области с государствами СНГ (включая страны ЕАЭС) за </w:t>
      </w:r>
      <w:r w:rsidR="004665AB" w:rsidRPr="00960436">
        <w:rPr>
          <w:rFonts w:ascii="Times New Roman" w:eastAsia="Times New Roman" w:hAnsi="Times New Roman" w:cs="Times New Roman"/>
          <w:sz w:val="24"/>
          <w:szCs w:val="24"/>
          <w:lang w:eastAsia="ru-RU"/>
        </w:rPr>
        <w:t>2019 год</w:t>
      </w:r>
      <w:r w:rsidRPr="00960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составил </w:t>
      </w:r>
      <w:r w:rsidR="00960436" w:rsidRPr="00960436">
        <w:rPr>
          <w:rFonts w:ascii="Times New Roman" w:eastAsia="Times New Roman" w:hAnsi="Times New Roman" w:cs="Times New Roman"/>
          <w:sz w:val="24"/>
          <w:szCs w:val="24"/>
          <w:lang w:eastAsia="ru-RU"/>
        </w:rPr>
        <w:t>410,1</w:t>
      </w:r>
      <w:r w:rsidRPr="00960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млн. долларов США, что на </w:t>
      </w:r>
      <w:r w:rsidR="00960436" w:rsidRPr="00960436">
        <w:rPr>
          <w:rFonts w:ascii="Times New Roman" w:eastAsia="Times New Roman" w:hAnsi="Times New Roman" w:cs="Times New Roman"/>
          <w:sz w:val="24"/>
          <w:szCs w:val="24"/>
          <w:lang w:eastAsia="ru-RU"/>
        </w:rPr>
        <w:t>9,5</w:t>
      </w:r>
      <w:r w:rsidRPr="00960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% </w:t>
      </w:r>
      <w:r w:rsidR="005D5B4C" w:rsidRPr="0096043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меньше</w:t>
      </w:r>
      <w:r w:rsidRPr="00960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показателей 201</w:t>
      </w:r>
      <w:r w:rsidR="005D5B4C" w:rsidRPr="00960436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960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года, в том числе экспорт – </w:t>
      </w:r>
      <w:r w:rsidR="00960436" w:rsidRPr="00960436">
        <w:rPr>
          <w:rFonts w:ascii="Times New Roman" w:eastAsia="Times New Roman" w:hAnsi="Times New Roman" w:cs="Times New Roman"/>
          <w:sz w:val="24"/>
          <w:szCs w:val="24"/>
          <w:lang w:eastAsia="ru-RU"/>
        </w:rPr>
        <w:t>223,2</w:t>
      </w:r>
      <w:r w:rsidRPr="00960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млн. долларов США (</w:t>
      </w:r>
      <w:r w:rsidR="00960436" w:rsidRPr="00960436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снижение</w:t>
      </w:r>
      <w:r w:rsidRPr="00960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 w:rsidR="00960436" w:rsidRPr="00960436">
        <w:rPr>
          <w:rFonts w:ascii="Times New Roman" w:eastAsia="Times New Roman" w:hAnsi="Times New Roman" w:cs="Times New Roman"/>
          <w:sz w:val="24"/>
          <w:szCs w:val="24"/>
          <w:lang w:eastAsia="ru-RU"/>
        </w:rPr>
        <w:t>0,2</w:t>
      </w:r>
      <w:r w:rsidRPr="00960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%), импорт – </w:t>
      </w:r>
      <w:r w:rsidR="00960436" w:rsidRPr="00960436">
        <w:rPr>
          <w:rFonts w:ascii="Times New Roman" w:eastAsia="Times New Roman" w:hAnsi="Times New Roman" w:cs="Times New Roman"/>
          <w:sz w:val="24"/>
          <w:szCs w:val="24"/>
          <w:lang w:eastAsia="ru-RU"/>
        </w:rPr>
        <w:t>186,9</w:t>
      </w:r>
      <w:r w:rsidRPr="00960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млн. долларов США (снижение на </w:t>
      </w:r>
      <w:r w:rsidR="00960436" w:rsidRPr="00960436"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 w:rsidRPr="0096043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60436" w:rsidRPr="0096043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960436">
        <w:rPr>
          <w:rFonts w:ascii="Times New Roman" w:eastAsia="Times New Roman" w:hAnsi="Times New Roman" w:cs="Times New Roman"/>
          <w:sz w:val="24"/>
          <w:szCs w:val="24"/>
          <w:lang w:eastAsia="ru-RU"/>
        </w:rPr>
        <w:t> %).</w:t>
      </w:r>
    </w:p>
    <w:p w:rsidR="00A174A7" w:rsidRPr="00960436" w:rsidRDefault="00960436" w:rsidP="004665AB">
      <w:pPr>
        <w:tabs>
          <w:tab w:val="left" w:pos="1134"/>
        </w:tabs>
        <w:spacing w:after="0" w:line="312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436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Снижение</w:t>
      </w:r>
      <w:r w:rsidR="00A174A7" w:rsidRPr="00960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экспорта произошло в основном за счёт </w:t>
      </w:r>
      <w:r w:rsidRPr="0096043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уменьшения</w:t>
      </w:r>
      <w:r w:rsidR="00A174A7" w:rsidRPr="00960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объемов вывоза российских товаров в </w:t>
      </w:r>
      <w:r w:rsidRPr="00960436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Украину</w:t>
      </w:r>
      <w:r w:rsidR="00A174A7" w:rsidRPr="00960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 </w:t>
      </w:r>
      <w:r w:rsidRPr="00960436">
        <w:rPr>
          <w:rFonts w:ascii="Times New Roman" w:eastAsia="Times New Roman" w:hAnsi="Times New Roman" w:cs="Times New Roman"/>
          <w:sz w:val="24"/>
          <w:szCs w:val="24"/>
          <w:lang w:eastAsia="ru-RU"/>
        </w:rPr>
        <w:t>10,4</w:t>
      </w:r>
      <w:r w:rsidR="00A174A7" w:rsidRPr="00960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млн.  долларов США или в </w:t>
      </w:r>
      <w:r w:rsidR="009543B7" w:rsidRPr="00960436">
        <w:rPr>
          <w:rFonts w:ascii="Times New Roman" w:eastAsia="Times New Roman" w:hAnsi="Times New Roman" w:cs="Times New Roman"/>
          <w:sz w:val="24"/>
          <w:szCs w:val="24"/>
          <w:lang w:eastAsia="ru-RU"/>
        </w:rPr>
        <w:t>1,</w:t>
      </w:r>
      <w:r w:rsidRPr="0096043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A174A7" w:rsidRPr="00960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раза)</w:t>
      </w:r>
      <w:r w:rsidRPr="0096043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174A7" w:rsidRPr="00960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96043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Казахстан</w:t>
      </w:r>
      <w:r w:rsidR="00A174A7" w:rsidRPr="00960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 </w:t>
      </w:r>
      <w:r w:rsidRPr="00960436">
        <w:rPr>
          <w:rFonts w:ascii="Times New Roman" w:eastAsia="Times New Roman" w:hAnsi="Times New Roman" w:cs="Times New Roman"/>
          <w:sz w:val="24"/>
          <w:szCs w:val="24"/>
          <w:lang w:eastAsia="ru-RU"/>
        </w:rPr>
        <w:t>6,4</w:t>
      </w:r>
      <w:r w:rsidR="00A174A7" w:rsidRPr="00960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млн.  долларов США или в </w:t>
      </w:r>
      <w:r w:rsidR="009543B7" w:rsidRPr="00960436">
        <w:rPr>
          <w:rFonts w:ascii="Times New Roman" w:eastAsia="Times New Roman" w:hAnsi="Times New Roman" w:cs="Times New Roman"/>
          <w:sz w:val="24"/>
          <w:szCs w:val="24"/>
          <w:lang w:eastAsia="ru-RU"/>
        </w:rPr>
        <w:t>1,</w:t>
      </w:r>
      <w:r w:rsidRPr="00960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раза), Армению (на 1,0 млн.  долларов США или в 1,3 раза). </w:t>
      </w:r>
      <w:r w:rsidR="00A174A7" w:rsidRPr="00960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этом наблюдается </w:t>
      </w:r>
      <w:r w:rsidRPr="00960436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увеличение</w:t>
      </w:r>
      <w:r w:rsidR="00A174A7" w:rsidRPr="00960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стоимостных объемов экспорта в </w:t>
      </w:r>
      <w:r w:rsidRPr="00960436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Беларусь</w:t>
      </w:r>
      <w:r w:rsidR="00A174A7" w:rsidRPr="00960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 </w:t>
      </w:r>
      <w:r w:rsidRPr="00960436">
        <w:rPr>
          <w:rFonts w:ascii="Times New Roman" w:eastAsia="Times New Roman" w:hAnsi="Times New Roman" w:cs="Times New Roman"/>
          <w:sz w:val="24"/>
          <w:szCs w:val="24"/>
          <w:lang w:eastAsia="ru-RU"/>
        </w:rPr>
        <w:t>13,4</w:t>
      </w:r>
      <w:r w:rsidR="00A174A7" w:rsidRPr="00960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млн.  долларов США или в 1,</w:t>
      </w:r>
      <w:r w:rsidRPr="0096043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A174A7" w:rsidRPr="00960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раза)</w:t>
      </w:r>
      <w:r w:rsidR="009543B7" w:rsidRPr="0096043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174A7" w:rsidRPr="00960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960436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Туркмению</w:t>
      </w:r>
      <w:r w:rsidR="00A174A7" w:rsidRPr="00960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 </w:t>
      </w:r>
      <w:r w:rsidRPr="00960436">
        <w:rPr>
          <w:rFonts w:ascii="Times New Roman" w:eastAsia="Times New Roman" w:hAnsi="Times New Roman" w:cs="Times New Roman"/>
          <w:sz w:val="24"/>
          <w:szCs w:val="24"/>
          <w:lang w:eastAsia="ru-RU"/>
        </w:rPr>
        <w:t>2,2</w:t>
      </w:r>
      <w:r w:rsidR="00A174A7" w:rsidRPr="00960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млн.  долларов США или в </w:t>
      </w:r>
      <w:r w:rsidRPr="00960436">
        <w:rPr>
          <w:rFonts w:ascii="Times New Roman" w:eastAsia="Times New Roman" w:hAnsi="Times New Roman" w:cs="Times New Roman"/>
          <w:sz w:val="24"/>
          <w:szCs w:val="24"/>
          <w:lang w:eastAsia="ru-RU"/>
        </w:rPr>
        <w:t>2,7</w:t>
      </w:r>
      <w:r w:rsidR="00A174A7" w:rsidRPr="00960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раза</w:t>
      </w:r>
      <w:r w:rsidR="009543B7" w:rsidRPr="00960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Pr="0096043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Таджикистан</w:t>
      </w:r>
      <w:r w:rsidR="009543B7" w:rsidRPr="00960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9543B7" w:rsidRPr="00960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(на </w:t>
      </w:r>
      <w:r w:rsidRPr="00960436">
        <w:rPr>
          <w:rFonts w:ascii="Times New Roman" w:eastAsia="Times New Roman" w:hAnsi="Times New Roman" w:cs="Times New Roman"/>
          <w:sz w:val="24"/>
          <w:szCs w:val="24"/>
          <w:lang w:eastAsia="ru-RU"/>
        </w:rPr>
        <w:t>1,5</w:t>
      </w:r>
      <w:r w:rsidR="001D19F4" w:rsidRPr="00960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млн.  долларов США или в 1,4</w:t>
      </w:r>
      <w:r w:rsidR="009543B7" w:rsidRPr="00960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раза).</w:t>
      </w:r>
    </w:p>
    <w:p w:rsidR="00A174A7" w:rsidRPr="00232866" w:rsidRDefault="001D19F4" w:rsidP="004665AB">
      <w:pPr>
        <w:tabs>
          <w:tab w:val="left" w:pos="1134"/>
        </w:tabs>
        <w:spacing w:after="0" w:line="312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8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Сокращение стоимостных объемов импорта обусловлено в основном снижением поставок из Украины (на </w:t>
      </w:r>
      <w:r w:rsidR="00960436" w:rsidRPr="00232866">
        <w:rPr>
          <w:rFonts w:ascii="Times New Roman" w:eastAsia="Times New Roman" w:hAnsi="Times New Roman" w:cs="Times New Roman"/>
          <w:sz w:val="24"/>
          <w:szCs w:val="24"/>
          <w:lang w:eastAsia="ru-RU"/>
        </w:rPr>
        <w:t>40,5</w:t>
      </w:r>
      <w:r w:rsidRPr="002328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млн.  долларов США или в 1,</w:t>
      </w:r>
      <w:r w:rsidR="00960436" w:rsidRPr="0023286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CB7D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раза),</w:t>
      </w:r>
      <w:r w:rsidRPr="002328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Казахстана (на </w:t>
      </w:r>
      <w:r w:rsidR="00232866" w:rsidRPr="00232866">
        <w:rPr>
          <w:rFonts w:ascii="Times New Roman" w:eastAsia="Times New Roman" w:hAnsi="Times New Roman" w:cs="Times New Roman"/>
          <w:sz w:val="24"/>
          <w:szCs w:val="24"/>
          <w:lang w:eastAsia="ru-RU"/>
        </w:rPr>
        <w:t>6,4</w:t>
      </w:r>
      <w:r w:rsidRPr="002328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млн.  долларов США или в 1,</w:t>
      </w:r>
      <w:r w:rsidR="00232866" w:rsidRPr="0023286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CB7D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раза)</w:t>
      </w:r>
      <w:r w:rsidR="009543B7" w:rsidRPr="002328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174A7" w:rsidRPr="00232866" w:rsidRDefault="00A174A7" w:rsidP="004665AB">
      <w:pPr>
        <w:tabs>
          <w:tab w:val="left" w:pos="1134"/>
        </w:tabs>
        <w:spacing w:after="0" w:line="312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8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Сальдо торгового баланса сложилось положительное и составило </w:t>
      </w:r>
      <w:r w:rsidR="00232866" w:rsidRPr="00232866">
        <w:rPr>
          <w:rFonts w:ascii="Times New Roman" w:eastAsia="Times New Roman" w:hAnsi="Times New Roman" w:cs="Times New Roman"/>
          <w:sz w:val="24"/>
          <w:szCs w:val="24"/>
          <w:lang w:eastAsia="ru-RU"/>
        </w:rPr>
        <w:t>36,3</w:t>
      </w:r>
      <w:r w:rsidRPr="002328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млн. долларов США.</w:t>
      </w:r>
    </w:p>
    <w:p w:rsidR="00A174A7" w:rsidRPr="00232866" w:rsidRDefault="00A174A7" w:rsidP="004D2ED3">
      <w:pPr>
        <w:tabs>
          <w:tab w:val="left" w:pos="1134"/>
        </w:tabs>
        <w:spacing w:after="0" w:line="312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4A7" w:rsidRPr="004D7F1C" w:rsidRDefault="00A174A7" w:rsidP="004D2ED3">
      <w:pPr>
        <w:tabs>
          <w:tab w:val="left" w:pos="1134"/>
        </w:tabs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4D7F1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Основные торговые партнеры Курской области</w:t>
      </w:r>
    </w:p>
    <w:p w:rsidR="00A174A7" w:rsidRPr="004D7F1C" w:rsidRDefault="00A174A7" w:rsidP="004D2ED3">
      <w:pPr>
        <w:tabs>
          <w:tab w:val="left" w:pos="1134"/>
        </w:tabs>
        <w:spacing w:after="0" w:line="312" w:lineRule="auto"/>
        <w:ind w:firstLine="426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A174A7" w:rsidRDefault="00A174A7" w:rsidP="004D2ED3">
      <w:pPr>
        <w:tabs>
          <w:tab w:val="left" w:pos="1134"/>
        </w:tabs>
        <w:spacing w:after="0" w:line="312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D7F1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Основными торговыми партнерами Курской области в </w:t>
      </w:r>
      <w:r w:rsidR="00E7063E" w:rsidRPr="004D7F1C">
        <w:rPr>
          <w:rFonts w:ascii="Times New Roman" w:eastAsia="Times New Roman" w:hAnsi="Times New Roman" w:cs="Times New Roman"/>
          <w:sz w:val="24"/>
          <w:szCs w:val="20"/>
          <w:lang w:eastAsia="ru-RU"/>
        </w:rPr>
        <w:t>2019 году</w:t>
      </w:r>
      <w:r w:rsidRPr="004D7F1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были: </w:t>
      </w:r>
      <w:r w:rsidR="00E7063E" w:rsidRPr="004D7F1C">
        <w:rPr>
          <w:rFonts w:ascii="Times New Roman" w:eastAsia="Times New Roman" w:hAnsi="Times New Roman" w:cs="Times New Roman"/>
          <w:sz w:val="24"/>
          <w:szCs w:val="20"/>
          <w:lang w:eastAsia="ru-RU"/>
        </w:rPr>
        <w:t>Швейцария</w:t>
      </w:r>
      <w:r w:rsidRPr="004D7F1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</w:t>
      </w:r>
      <w:r w:rsidR="00E7063E" w:rsidRPr="004D7F1C">
        <w:rPr>
          <w:rFonts w:ascii="Times New Roman" w:eastAsia="Times New Roman" w:hAnsi="Times New Roman" w:cs="Times New Roman"/>
          <w:sz w:val="24"/>
          <w:szCs w:val="20"/>
          <w:lang w:eastAsia="ru-RU"/>
        </w:rPr>
        <w:t>14,0</w:t>
      </w:r>
      <w:r w:rsidRPr="004D7F1C">
        <w:rPr>
          <w:rFonts w:ascii="Times New Roman" w:eastAsia="Times New Roman" w:hAnsi="Times New Roman" w:cs="Times New Roman"/>
          <w:sz w:val="24"/>
          <w:szCs w:val="20"/>
          <w:lang w:eastAsia="ru-RU"/>
        </w:rPr>
        <w:t>% от всего товарооборота субъекта Российской Федерации  (в 201</w:t>
      </w:r>
      <w:r w:rsidR="00091FDA" w:rsidRPr="004D7F1C">
        <w:rPr>
          <w:rFonts w:ascii="Times New Roman" w:eastAsia="Times New Roman" w:hAnsi="Times New Roman" w:cs="Times New Roman"/>
          <w:sz w:val="24"/>
          <w:szCs w:val="20"/>
          <w:lang w:eastAsia="ru-RU"/>
        </w:rPr>
        <w:t>8</w:t>
      </w:r>
      <w:r w:rsidRPr="004D7F1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год</w:t>
      </w:r>
      <w:r w:rsidR="00E7063E" w:rsidRPr="004D7F1C">
        <w:rPr>
          <w:rFonts w:ascii="Times New Roman" w:eastAsia="Times New Roman" w:hAnsi="Times New Roman" w:cs="Times New Roman"/>
          <w:sz w:val="24"/>
          <w:szCs w:val="20"/>
          <w:lang w:eastAsia="ru-RU"/>
        </w:rPr>
        <w:t>у</w:t>
      </w:r>
      <w:r w:rsidRPr="004D7F1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</w:t>
      </w:r>
      <w:r w:rsidR="004D7F1C" w:rsidRPr="004D7F1C">
        <w:rPr>
          <w:rFonts w:ascii="Times New Roman" w:eastAsia="Times New Roman" w:hAnsi="Times New Roman" w:cs="Times New Roman"/>
          <w:sz w:val="24"/>
          <w:szCs w:val="20"/>
          <w:lang w:eastAsia="ru-RU"/>
        </w:rPr>
        <w:t>8</w:t>
      </w:r>
      <w:r w:rsidR="00091FDA" w:rsidRPr="004D7F1C">
        <w:rPr>
          <w:rFonts w:ascii="Times New Roman" w:eastAsia="Times New Roman" w:hAnsi="Times New Roman" w:cs="Times New Roman"/>
          <w:sz w:val="24"/>
          <w:szCs w:val="20"/>
          <w:lang w:eastAsia="ru-RU"/>
        </w:rPr>
        <w:t>,</w:t>
      </w:r>
      <w:r w:rsidR="004D7F1C" w:rsidRPr="004D7F1C">
        <w:rPr>
          <w:rFonts w:ascii="Times New Roman" w:eastAsia="Times New Roman" w:hAnsi="Times New Roman" w:cs="Times New Roman"/>
          <w:sz w:val="24"/>
          <w:szCs w:val="20"/>
          <w:lang w:eastAsia="ru-RU"/>
        </w:rPr>
        <w:t>8</w:t>
      </w:r>
      <w:r w:rsidRPr="004D7F1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%), </w:t>
      </w:r>
      <w:r w:rsidR="00E7063E" w:rsidRPr="004D7F1C">
        <w:rPr>
          <w:rFonts w:ascii="Times New Roman" w:eastAsia="Times New Roman" w:hAnsi="Times New Roman" w:cs="Times New Roman"/>
          <w:sz w:val="24"/>
          <w:szCs w:val="20"/>
          <w:lang w:eastAsia="ru-RU"/>
        </w:rPr>
        <w:t>Китай</w:t>
      </w:r>
      <w:r w:rsidRPr="004D7F1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</w:t>
      </w:r>
      <w:r w:rsidR="00E7063E" w:rsidRPr="004D7F1C">
        <w:rPr>
          <w:rFonts w:ascii="Times New Roman" w:eastAsia="Times New Roman" w:hAnsi="Times New Roman" w:cs="Times New Roman"/>
          <w:sz w:val="24"/>
          <w:szCs w:val="20"/>
          <w:lang w:eastAsia="ru-RU"/>
        </w:rPr>
        <w:t>13,1</w:t>
      </w:r>
      <w:r w:rsidRPr="004D7F1C">
        <w:rPr>
          <w:rFonts w:ascii="Times New Roman" w:eastAsia="Times New Roman" w:hAnsi="Times New Roman" w:cs="Times New Roman"/>
          <w:sz w:val="24"/>
          <w:szCs w:val="20"/>
          <w:lang w:eastAsia="ru-RU"/>
        </w:rPr>
        <w:t>% (</w:t>
      </w:r>
      <w:r w:rsidR="004D7F1C" w:rsidRPr="004D7F1C">
        <w:rPr>
          <w:rFonts w:ascii="Times New Roman" w:eastAsia="Times New Roman" w:hAnsi="Times New Roman" w:cs="Times New Roman"/>
          <w:sz w:val="24"/>
          <w:szCs w:val="20"/>
          <w:lang w:eastAsia="ru-RU"/>
        </w:rPr>
        <w:t>4,6</w:t>
      </w:r>
      <w:r w:rsidRPr="004D7F1C">
        <w:rPr>
          <w:rFonts w:ascii="Times New Roman" w:eastAsia="Times New Roman" w:hAnsi="Times New Roman" w:cs="Times New Roman"/>
          <w:sz w:val="24"/>
          <w:szCs w:val="20"/>
          <w:lang w:eastAsia="ru-RU"/>
        </w:rPr>
        <w:t>%),</w:t>
      </w:r>
      <w:r w:rsidR="00091FDA" w:rsidRPr="004D7F1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E7063E" w:rsidRPr="004D7F1C">
        <w:rPr>
          <w:rFonts w:ascii="Times New Roman" w:eastAsia="Times New Roman" w:hAnsi="Times New Roman" w:cs="Times New Roman"/>
          <w:sz w:val="24"/>
          <w:szCs w:val="20"/>
          <w:lang w:eastAsia="ru-RU"/>
        </w:rPr>
        <w:t>Украина</w:t>
      </w:r>
      <w:r w:rsidR="00091FDA" w:rsidRPr="004D7F1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</w:t>
      </w:r>
      <w:r w:rsidR="00E7063E" w:rsidRPr="004D7F1C">
        <w:rPr>
          <w:rFonts w:ascii="Times New Roman" w:eastAsia="Times New Roman" w:hAnsi="Times New Roman" w:cs="Times New Roman"/>
          <w:sz w:val="24"/>
          <w:szCs w:val="20"/>
          <w:lang w:eastAsia="ru-RU"/>
        </w:rPr>
        <w:t>13,0</w:t>
      </w:r>
      <w:r w:rsidR="00091FDA" w:rsidRPr="004D7F1C">
        <w:rPr>
          <w:rFonts w:ascii="Times New Roman" w:eastAsia="Times New Roman" w:hAnsi="Times New Roman" w:cs="Times New Roman"/>
          <w:sz w:val="24"/>
          <w:szCs w:val="20"/>
          <w:lang w:eastAsia="ru-RU"/>
        </w:rPr>
        <w:t>% (</w:t>
      </w:r>
      <w:r w:rsidR="004D7F1C" w:rsidRPr="004D7F1C">
        <w:rPr>
          <w:rFonts w:ascii="Times New Roman" w:eastAsia="Times New Roman" w:hAnsi="Times New Roman" w:cs="Times New Roman"/>
          <w:sz w:val="24"/>
          <w:szCs w:val="20"/>
          <w:lang w:eastAsia="ru-RU"/>
        </w:rPr>
        <w:t>19,3</w:t>
      </w:r>
      <w:r w:rsidR="00091FDA" w:rsidRPr="004D7F1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%), </w:t>
      </w:r>
      <w:r w:rsidRPr="004D7F1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Беларусь – 8,</w:t>
      </w:r>
      <w:r w:rsidR="00E7063E" w:rsidRPr="004D7F1C">
        <w:rPr>
          <w:rFonts w:ascii="Times New Roman" w:eastAsia="Times New Roman" w:hAnsi="Times New Roman" w:cs="Times New Roman"/>
          <w:sz w:val="24"/>
          <w:szCs w:val="20"/>
          <w:lang w:eastAsia="ru-RU"/>
        </w:rPr>
        <w:t>0</w:t>
      </w:r>
      <w:r w:rsidRPr="004D7F1C">
        <w:rPr>
          <w:rFonts w:ascii="Times New Roman" w:eastAsia="Times New Roman" w:hAnsi="Times New Roman" w:cs="Times New Roman"/>
          <w:sz w:val="24"/>
          <w:szCs w:val="20"/>
          <w:lang w:eastAsia="ru-RU"/>
        </w:rPr>
        <w:t>% (</w:t>
      </w:r>
      <w:r w:rsidR="004D7F1C" w:rsidRPr="004D7F1C">
        <w:rPr>
          <w:rFonts w:ascii="Times New Roman" w:eastAsia="Times New Roman" w:hAnsi="Times New Roman" w:cs="Times New Roman"/>
          <w:sz w:val="24"/>
          <w:szCs w:val="20"/>
          <w:lang w:eastAsia="ru-RU"/>
        </w:rPr>
        <w:t>8,2</w:t>
      </w:r>
      <w:r w:rsidRPr="004D7F1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%), </w:t>
      </w:r>
      <w:r w:rsidR="00E7063E" w:rsidRPr="004D7F1C">
        <w:rPr>
          <w:rFonts w:ascii="Times New Roman" w:eastAsia="Times New Roman" w:hAnsi="Times New Roman" w:cs="Times New Roman"/>
          <w:sz w:val="24"/>
          <w:szCs w:val="20"/>
          <w:lang w:eastAsia="ru-RU"/>
        </w:rPr>
        <w:t>Вьетнам</w:t>
      </w:r>
      <w:r w:rsidRPr="004D7F1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– </w:t>
      </w:r>
      <w:r w:rsidR="00E7063E" w:rsidRPr="004D7F1C">
        <w:rPr>
          <w:rFonts w:ascii="Times New Roman" w:eastAsia="Times New Roman" w:hAnsi="Times New Roman" w:cs="Times New Roman"/>
          <w:sz w:val="24"/>
          <w:szCs w:val="20"/>
          <w:lang w:eastAsia="ru-RU"/>
        </w:rPr>
        <w:t>4,7</w:t>
      </w:r>
      <w:r w:rsidRPr="004D7F1C">
        <w:rPr>
          <w:rFonts w:ascii="Times New Roman" w:eastAsia="Times New Roman" w:hAnsi="Times New Roman" w:cs="Times New Roman"/>
          <w:sz w:val="24"/>
          <w:szCs w:val="20"/>
          <w:lang w:eastAsia="ru-RU"/>
        </w:rPr>
        <w:t>% (</w:t>
      </w:r>
      <w:r w:rsidR="004D7F1C" w:rsidRPr="004D7F1C">
        <w:rPr>
          <w:rFonts w:ascii="Times New Roman" w:eastAsia="Times New Roman" w:hAnsi="Times New Roman" w:cs="Times New Roman"/>
          <w:sz w:val="24"/>
          <w:szCs w:val="20"/>
          <w:lang w:eastAsia="ru-RU"/>
        </w:rPr>
        <w:t>1,5</w:t>
      </w:r>
      <w:r w:rsidRPr="004D7F1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%), </w:t>
      </w:r>
      <w:r w:rsidR="00E7063E" w:rsidRPr="004D7F1C">
        <w:rPr>
          <w:rFonts w:ascii="Times New Roman" w:eastAsia="Times New Roman" w:hAnsi="Times New Roman" w:cs="Times New Roman"/>
          <w:sz w:val="24"/>
          <w:szCs w:val="20"/>
          <w:lang w:eastAsia="ru-RU"/>
        </w:rPr>
        <w:t>Словакия</w:t>
      </w:r>
      <w:r w:rsidRPr="004D7F1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</w:t>
      </w:r>
      <w:r w:rsidR="00E7063E" w:rsidRPr="004D7F1C">
        <w:rPr>
          <w:rFonts w:ascii="Times New Roman" w:eastAsia="Times New Roman" w:hAnsi="Times New Roman" w:cs="Times New Roman"/>
          <w:sz w:val="24"/>
          <w:szCs w:val="20"/>
          <w:lang w:eastAsia="ru-RU"/>
        </w:rPr>
        <w:t>4,2</w:t>
      </w:r>
      <w:r w:rsidRPr="004D7F1C">
        <w:rPr>
          <w:rFonts w:ascii="Times New Roman" w:eastAsia="Times New Roman" w:hAnsi="Times New Roman" w:cs="Times New Roman"/>
          <w:sz w:val="24"/>
          <w:szCs w:val="20"/>
          <w:lang w:eastAsia="ru-RU"/>
        </w:rPr>
        <w:t>% (</w:t>
      </w:r>
      <w:r w:rsidR="004D7F1C" w:rsidRPr="004D7F1C">
        <w:rPr>
          <w:rFonts w:ascii="Times New Roman" w:eastAsia="Times New Roman" w:hAnsi="Times New Roman" w:cs="Times New Roman"/>
          <w:sz w:val="24"/>
          <w:szCs w:val="20"/>
          <w:lang w:eastAsia="ru-RU"/>
        </w:rPr>
        <w:t>10,5</w:t>
      </w:r>
      <w:r w:rsidRPr="004D7F1C">
        <w:rPr>
          <w:rFonts w:ascii="Times New Roman" w:eastAsia="Times New Roman" w:hAnsi="Times New Roman" w:cs="Times New Roman"/>
          <w:sz w:val="24"/>
          <w:szCs w:val="20"/>
          <w:lang w:eastAsia="ru-RU"/>
        </w:rPr>
        <w:t>%),</w:t>
      </w:r>
      <w:r w:rsidR="00E7063E" w:rsidRPr="004D7F1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Казахстан – 4,0% (</w:t>
      </w:r>
      <w:r w:rsidR="004D7F1C" w:rsidRPr="004D7F1C">
        <w:rPr>
          <w:rFonts w:ascii="Times New Roman" w:eastAsia="Times New Roman" w:hAnsi="Times New Roman" w:cs="Times New Roman"/>
          <w:sz w:val="24"/>
          <w:szCs w:val="20"/>
          <w:lang w:eastAsia="ru-RU"/>
        </w:rPr>
        <w:t>5,7</w:t>
      </w:r>
      <w:r w:rsidR="00E7063E" w:rsidRPr="004D7F1C">
        <w:rPr>
          <w:rFonts w:ascii="Times New Roman" w:eastAsia="Times New Roman" w:hAnsi="Times New Roman" w:cs="Times New Roman"/>
          <w:sz w:val="24"/>
          <w:szCs w:val="20"/>
          <w:lang w:eastAsia="ru-RU"/>
        </w:rPr>
        <w:t>%), Турция  – 3,9% (</w:t>
      </w:r>
      <w:r w:rsidR="004D7F1C" w:rsidRPr="004D7F1C">
        <w:rPr>
          <w:rFonts w:ascii="Times New Roman" w:eastAsia="Times New Roman" w:hAnsi="Times New Roman" w:cs="Times New Roman"/>
          <w:sz w:val="24"/>
          <w:szCs w:val="20"/>
          <w:lang w:eastAsia="ru-RU"/>
        </w:rPr>
        <w:t>2</w:t>
      </w:r>
      <w:r w:rsidR="00E7063E" w:rsidRPr="004D7F1C">
        <w:rPr>
          <w:rFonts w:ascii="Times New Roman" w:eastAsia="Times New Roman" w:hAnsi="Times New Roman" w:cs="Times New Roman"/>
          <w:sz w:val="24"/>
          <w:szCs w:val="20"/>
          <w:lang w:eastAsia="ru-RU"/>
        </w:rPr>
        <w:t>,2%).</w:t>
      </w:r>
      <w:r w:rsidRPr="004D7F1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091FDA" w:rsidRPr="004D7F1C">
        <w:rPr>
          <w:rFonts w:ascii="Times New Roman" w:eastAsia="Times New Roman" w:hAnsi="Times New Roman" w:cs="Times New Roman"/>
          <w:sz w:val="24"/>
          <w:szCs w:val="20"/>
          <w:lang w:eastAsia="ru-RU"/>
        </w:rPr>
        <w:t>Франция</w:t>
      </w:r>
      <w:r w:rsidRPr="004D7F1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</w:t>
      </w:r>
      <w:r w:rsidR="00E7063E" w:rsidRPr="004D7F1C">
        <w:rPr>
          <w:rFonts w:ascii="Times New Roman" w:eastAsia="Times New Roman" w:hAnsi="Times New Roman" w:cs="Times New Roman"/>
          <w:sz w:val="24"/>
          <w:szCs w:val="20"/>
          <w:lang w:eastAsia="ru-RU"/>
        </w:rPr>
        <w:t>3,3</w:t>
      </w:r>
      <w:r w:rsidRPr="004D7F1C">
        <w:rPr>
          <w:rFonts w:ascii="Times New Roman" w:eastAsia="Times New Roman" w:hAnsi="Times New Roman" w:cs="Times New Roman"/>
          <w:sz w:val="24"/>
          <w:szCs w:val="20"/>
          <w:lang w:eastAsia="ru-RU"/>
        </w:rPr>
        <w:t>% (</w:t>
      </w:r>
      <w:r w:rsidR="004D7F1C" w:rsidRPr="004D7F1C">
        <w:rPr>
          <w:rFonts w:ascii="Times New Roman" w:eastAsia="Times New Roman" w:hAnsi="Times New Roman" w:cs="Times New Roman"/>
          <w:sz w:val="24"/>
          <w:szCs w:val="20"/>
          <w:lang w:eastAsia="ru-RU"/>
        </w:rPr>
        <w:t>1,5</w:t>
      </w:r>
      <w:r w:rsidRPr="004D7F1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%), </w:t>
      </w:r>
      <w:r w:rsidR="00091FDA" w:rsidRPr="004D7F1C">
        <w:rPr>
          <w:rFonts w:ascii="Times New Roman" w:eastAsia="Times New Roman" w:hAnsi="Times New Roman" w:cs="Times New Roman"/>
          <w:sz w:val="24"/>
          <w:szCs w:val="20"/>
          <w:lang w:eastAsia="ru-RU"/>
        </w:rPr>
        <w:t>Германия</w:t>
      </w:r>
      <w:r w:rsidRPr="004D7F1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3,</w:t>
      </w:r>
      <w:r w:rsidR="00E7063E" w:rsidRPr="004D7F1C">
        <w:rPr>
          <w:rFonts w:ascii="Times New Roman" w:eastAsia="Times New Roman" w:hAnsi="Times New Roman" w:cs="Times New Roman"/>
          <w:sz w:val="24"/>
          <w:szCs w:val="20"/>
          <w:lang w:eastAsia="ru-RU"/>
        </w:rPr>
        <w:t>2</w:t>
      </w:r>
      <w:r w:rsidRPr="004D7F1C">
        <w:rPr>
          <w:rFonts w:ascii="Times New Roman" w:eastAsia="Times New Roman" w:hAnsi="Times New Roman" w:cs="Times New Roman"/>
          <w:sz w:val="24"/>
          <w:szCs w:val="20"/>
          <w:lang w:eastAsia="ru-RU"/>
        </w:rPr>
        <w:t>% (</w:t>
      </w:r>
      <w:r w:rsidR="00091FDA" w:rsidRPr="004D7F1C">
        <w:rPr>
          <w:rFonts w:ascii="Times New Roman" w:eastAsia="Times New Roman" w:hAnsi="Times New Roman" w:cs="Times New Roman"/>
          <w:sz w:val="24"/>
          <w:szCs w:val="20"/>
          <w:lang w:eastAsia="ru-RU"/>
        </w:rPr>
        <w:t>5,</w:t>
      </w:r>
      <w:r w:rsidR="004D7F1C" w:rsidRPr="004D7F1C">
        <w:rPr>
          <w:rFonts w:ascii="Times New Roman" w:eastAsia="Times New Roman" w:hAnsi="Times New Roman" w:cs="Times New Roman"/>
          <w:sz w:val="24"/>
          <w:szCs w:val="20"/>
          <w:lang w:eastAsia="ru-RU"/>
        </w:rPr>
        <w:t>2</w:t>
      </w:r>
      <w:r w:rsidR="00E7063E" w:rsidRPr="004D7F1C">
        <w:rPr>
          <w:rFonts w:ascii="Times New Roman" w:eastAsia="Times New Roman" w:hAnsi="Times New Roman" w:cs="Times New Roman"/>
          <w:sz w:val="24"/>
          <w:szCs w:val="20"/>
          <w:lang w:eastAsia="ru-RU"/>
        </w:rPr>
        <w:t>%).</w:t>
      </w:r>
    </w:p>
    <w:p w:rsidR="00BD11A6" w:rsidRPr="004D7F1C" w:rsidRDefault="00BD11A6" w:rsidP="004D2ED3">
      <w:pPr>
        <w:tabs>
          <w:tab w:val="left" w:pos="1134"/>
        </w:tabs>
        <w:spacing w:after="0" w:line="312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2F19E1" w:rsidRDefault="00BD11A6">
      <w:pPr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noProof/>
          <w:lang w:eastAsia="ru-RU"/>
        </w:rPr>
        <w:drawing>
          <wp:inline distT="0" distB="0" distL="0" distR="0" wp14:anchorId="19662B40" wp14:editId="388CEFB4">
            <wp:extent cx="6219825" cy="3333750"/>
            <wp:effectExtent l="0" t="0" r="9525" b="1905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r w:rsidR="00832E0F">
        <w:rPr>
          <w:noProof/>
          <w:lang w:eastAsia="ru-RU"/>
        </w:rPr>
        <w:t xml:space="preserve"> </w:t>
      </w:r>
      <w:r w:rsidR="002F19E1">
        <w:rPr>
          <w:rFonts w:ascii="Times New Roman" w:eastAsia="Times New Roman" w:hAnsi="Times New Roman" w:cs="Times New Roman"/>
          <w:sz w:val="24"/>
          <w:szCs w:val="20"/>
          <w:lang w:eastAsia="ru-RU"/>
        </w:rPr>
        <w:br w:type="page"/>
      </w:r>
    </w:p>
    <w:p w:rsidR="009D352A" w:rsidRPr="00B53833" w:rsidRDefault="009D352A" w:rsidP="009D352A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B5383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lastRenderedPageBreak/>
        <w:t>Товарная структура ЭКСПОРТА</w:t>
      </w:r>
      <w:r w:rsidR="002F19E1" w:rsidRPr="00B5383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="00D57D29" w:rsidRPr="00B5383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Курской</w:t>
      </w:r>
      <w:r w:rsidR="00FF21F2" w:rsidRPr="00B5383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области</w:t>
      </w:r>
    </w:p>
    <w:p w:rsidR="00B01613" w:rsidRPr="00B53833" w:rsidRDefault="00B01613" w:rsidP="00B360FA">
      <w:pPr>
        <w:spacing w:after="0" w:line="360" w:lineRule="auto"/>
        <w:jc w:val="center"/>
        <w:rPr>
          <w:noProof/>
          <w:lang w:eastAsia="ru-RU"/>
        </w:rPr>
      </w:pPr>
    </w:p>
    <w:p w:rsidR="00AE49CF" w:rsidRDefault="00B53833" w:rsidP="00B360F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noProof/>
          <w:lang w:eastAsia="ru-RU"/>
        </w:rPr>
        <w:drawing>
          <wp:inline distT="0" distB="0" distL="0" distR="0" wp14:anchorId="69C98C6A" wp14:editId="741CB737">
            <wp:extent cx="5377815" cy="3810000"/>
            <wp:effectExtent l="0" t="0" r="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B53833" w:rsidRDefault="00B53833" w:rsidP="00B360F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4B4264" w:rsidRPr="00B57DCE" w:rsidRDefault="00FF21F2" w:rsidP="00B360F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B57DC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</w:t>
      </w:r>
      <w:r w:rsidR="002F19E1" w:rsidRPr="00B57DC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оварная структура ИМП</w:t>
      </w:r>
      <w:r w:rsidRPr="00B57DC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ОРТА </w:t>
      </w:r>
      <w:r w:rsidR="00D57D29" w:rsidRPr="00B57DC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Курской</w:t>
      </w:r>
      <w:r w:rsidR="00E3372A" w:rsidRPr="00B57DC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Pr="00B57DC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области</w:t>
      </w:r>
    </w:p>
    <w:p w:rsidR="004B4264" w:rsidRPr="00AE49CF" w:rsidRDefault="004B4264" w:rsidP="00B70EB7">
      <w:pPr>
        <w:spacing w:after="0" w:line="360" w:lineRule="auto"/>
        <w:jc w:val="center"/>
        <w:rPr>
          <w:noProof/>
          <w:color w:val="FF0000"/>
          <w:lang w:eastAsia="ru-RU"/>
        </w:rPr>
      </w:pPr>
    </w:p>
    <w:p w:rsidR="003946EB" w:rsidRPr="00A6142D" w:rsidRDefault="00B57DCE" w:rsidP="00B57DC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noProof/>
          <w:lang w:eastAsia="ru-RU"/>
        </w:rPr>
        <w:drawing>
          <wp:inline distT="0" distB="0" distL="0" distR="0" wp14:anchorId="09070896" wp14:editId="6DE11C8F">
            <wp:extent cx="5473065" cy="379095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sectPr w:rsidR="003946EB" w:rsidRPr="00A6142D" w:rsidSect="00B05822">
      <w:headerReference w:type="default" r:id="rId10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C36" w:rsidRDefault="00375C36" w:rsidP="00D80069">
      <w:pPr>
        <w:spacing w:after="0" w:line="240" w:lineRule="auto"/>
      </w:pPr>
      <w:r>
        <w:separator/>
      </w:r>
    </w:p>
  </w:endnote>
  <w:endnote w:type="continuationSeparator" w:id="0">
    <w:p w:rsidR="00375C36" w:rsidRDefault="00375C36" w:rsidP="00D800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C36" w:rsidRDefault="00375C36" w:rsidP="00D80069">
      <w:pPr>
        <w:spacing w:after="0" w:line="240" w:lineRule="auto"/>
      </w:pPr>
      <w:r>
        <w:separator/>
      </w:r>
    </w:p>
  </w:footnote>
  <w:footnote w:type="continuationSeparator" w:id="0">
    <w:p w:rsidR="00375C36" w:rsidRDefault="00375C36" w:rsidP="00D800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5349822"/>
      <w:docPartObj>
        <w:docPartGallery w:val="Page Numbers (Top of Page)"/>
        <w:docPartUnique/>
      </w:docPartObj>
    </w:sdtPr>
    <w:sdtEndPr/>
    <w:sdtContent>
      <w:p w:rsidR="00D80069" w:rsidRDefault="00D8006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2EA3">
          <w:rPr>
            <w:noProof/>
          </w:rPr>
          <w:t>3</w:t>
        </w:r>
        <w:r>
          <w:fldChar w:fldCharType="end"/>
        </w:r>
      </w:p>
    </w:sdtContent>
  </w:sdt>
  <w:p w:rsidR="00D80069" w:rsidRDefault="00D8006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3BC"/>
    <w:rsid w:val="0000132F"/>
    <w:rsid w:val="000034BA"/>
    <w:rsid w:val="000518F1"/>
    <w:rsid w:val="00053CDD"/>
    <w:rsid w:val="00061ADB"/>
    <w:rsid w:val="0006259E"/>
    <w:rsid w:val="00086CB5"/>
    <w:rsid w:val="00091FDA"/>
    <w:rsid w:val="000968EC"/>
    <w:rsid w:val="000A0B85"/>
    <w:rsid w:val="000B3276"/>
    <w:rsid w:val="000B5BBF"/>
    <w:rsid w:val="000C1302"/>
    <w:rsid w:val="000C2ADA"/>
    <w:rsid w:val="000D5179"/>
    <w:rsid w:val="000E5196"/>
    <w:rsid w:val="00102B12"/>
    <w:rsid w:val="00117DCC"/>
    <w:rsid w:val="00140643"/>
    <w:rsid w:val="0015046B"/>
    <w:rsid w:val="001514A7"/>
    <w:rsid w:val="00155475"/>
    <w:rsid w:val="00160567"/>
    <w:rsid w:val="00171085"/>
    <w:rsid w:val="001930D2"/>
    <w:rsid w:val="001B18F2"/>
    <w:rsid w:val="001B3B1F"/>
    <w:rsid w:val="001C1766"/>
    <w:rsid w:val="001D19F4"/>
    <w:rsid w:val="001D32A2"/>
    <w:rsid w:val="001D68F3"/>
    <w:rsid w:val="001F0F1B"/>
    <w:rsid w:val="001F3111"/>
    <w:rsid w:val="00207E52"/>
    <w:rsid w:val="00232866"/>
    <w:rsid w:val="00234B6C"/>
    <w:rsid w:val="00235CC4"/>
    <w:rsid w:val="0024786B"/>
    <w:rsid w:val="002539D1"/>
    <w:rsid w:val="00257DF4"/>
    <w:rsid w:val="00280EE6"/>
    <w:rsid w:val="002A620C"/>
    <w:rsid w:val="002A7330"/>
    <w:rsid w:val="002B05A7"/>
    <w:rsid w:val="002B3C95"/>
    <w:rsid w:val="002B5CBA"/>
    <w:rsid w:val="002D5277"/>
    <w:rsid w:val="002F1825"/>
    <w:rsid w:val="002F19E1"/>
    <w:rsid w:val="00343DB5"/>
    <w:rsid w:val="003608E1"/>
    <w:rsid w:val="00365F72"/>
    <w:rsid w:val="00375C36"/>
    <w:rsid w:val="00376ADF"/>
    <w:rsid w:val="00386AEC"/>
    <w:rsid w:val="00390C4D"/>
    <w:rsid w:val="00392EED"/>
    <w:rsid w:val="003946EB"/>
    <w:rsid w:val="003C7635"/>
    <w:rsid w:val="003E53C6"/>
    <w:rsid w:val="003F05AB"/>
    <w:rsid w:val="003F3F15"/>
    <w:rsid w:val="0040051A"/>
    <w:rsid w:val="0041186B"/>
    <w:rsid w:val="004665AB"/>
    <w:rsid w:val="004707E3"/>
    <w:rsid w:val="004B4264"/>
    <w:rsid w:val="004D2ED3"/>
    <w:rsid w:val="004D7F1C"/>
    <w:rsid w:val="00514E7C"/>
    <w:rsid w:val="00531D4D"/>
    <w:rsid w:val="00533A16"/>
    <w:rsid w:val="00552ED1"/>
    <w:rsid w:val="005542B3"/>
    <w:rsid w:val="00561391"/>
    <w:rsid w:val="00584085"/>
    <w:rsid w:val="00585CF1"/>
    <w:rsid w:val="0059310A"/>
    <w:rsid w:val="005A027F"/>
    <w:rsid w:val="005D38DB"/>
    <w:rsid w:val="005D4C23"/>
    <w:rsid w:val="005D5B4C"/>
    <w:rsid w:val="005E26EA"/>
    <w:rsid w:val="00627592"/>
    <w:rsid w:val="00661A10"/>
    <w:rsid w:val="00664E2B"/>
    <w:rsid w:val="006663A3"/>
    <w:rsid w:val="0066713C"/>
    <w:rsid w:val="006807EE"/>
    <w:rsid w:val="0069537A"/>
    <w:rsid w:val="006A226D"/>
    <w:rsid w:val="006D3327"/>
    <w:rsid w:val="006E31B2"/>
    <w:rsid w:val="006E558B"/>
    <w:rsid w:val="007034F0"/>
    <w:rsid w:val="00703A52"/>
    <w:rsid w:val="0071029D"/>
    <w:rsid w:val="00734415"/>
    <w:rsid w:val="00760F2D"/>
    <w:rsid w:val="007C71C1"/>
    <w:rsid w:val="007D2EA3"/>
    <w:rsid w:val="007E5486"/>
    <w:rsid w:val="00804068"/>
    <w:rsid w:val="008170CC"/>
    <w:rsid w:val="00832E0F"/>
    <w:rsid w:val="00855A2A"/>
    <w:rsid w:val="00865857"/>
    <w:rsid w:val="00867E3D"/>
    <w:rsid w:val="00881C90"/>
    <w:rsid w:val="00882722"/>
    <w:rsid w:val="00896588"/>
    <w:rsid w:val="008A5432"/>
    <w:rsid w:val="008B4F0D"/>
    <w:rsid w:val="008D10A7"/>
    <w:rsid w:val="008E107A"/>
    <w:rsid w:val="008E1E62"/>
    <w:rsid w:val="008F2778"/>
    <w:rsid w:val="00933418"/>
    <w:rsid w:val="009340EF"/>
    <w:rsid w:val="00946B3D"/>
    <w:rsid w:val="009543B7"/>
    <w:rsid w:val="00956638"/>
    <w:rsid w:val="00960436"/>
    <w:rsid w:val="00961215"/>
    <w:rsid w:val="00963A36"/>
    <w:rsid w:val="009820EA"/>
    <w:rsid w:val="00982E1B"/>
    <w:rsid w:val="009A5CCB"/>
    <w:rsid w:val="009B409D"/>
    <w:rsid w:val="009C3353"/>
    <w:rsid w:val="009D352A"/>
    <w:rsid w:val="009D5729"/>
    <w:rsid w:val="009E3306"/>
    <w:rsid w:val="009E54AE"/>
    <w:rsid w:val="00A174A7"/>
    <w:rsid w:val="00A32083"/>
    <w:rsid w:val="00A4095E"/>
    <w:rsid w:val="00A55869"/>
    <w:rsid w:val="00A6142D"/>
    <w:rsid w:val="00A70B6E"/>
    <w:rsid w:val="00A71546"/>
    <w:rsid w:val="00A763DA"/>
    <w:rsid w:val="00AD0F6D"/>
    <w:rsid w:val="00AE49CF"/>
    <w:rsid w:val="00AF0398"/>
    <w:rsid w:val="00AF387A"/>
    <w:rsid w:val="00B01613"/>
    <w:rsid w:val="00B03AAC"/>
    <w:rsid w:val="00B05822"/>
    <w:rsid w:val="00B3581B"/>
    <w:rsid w:val="00B360FA"/>
    <w:rsid w:val="00B526B9"/>
    <w:rsid w:val="00B53833"/>
    <w:rsid w:val="00B57DCE"/>
    <w:rsid w:val="00B67652"/>
    <w:rsid w:val="00B70EB7"/>
    <w:rsid w:val="00BA508B"/>
    <w:rsid w:val="00BB677E"/>
    <w:rsid w:val="00BD11A6"/>
    <w:rsid w:val="00BD5028"/>
    <w:rsid w:val="00BE4E31"/>
    <w:rsid w:val="00BE6264"/>
    <w:rsid w:val="00BF6EC4"/>
    <w:rsid w:val="00C34F35"/>
    <w:rsid w:val="00C35C3C"/>
    <w:rsid w:val="00C5289D"/>
    <w:rsid w:val="00C572D7"/>
    <w:rsid w:val="00C60599"/>
    <w:rsid w:val="00C60B84"/>
    <w:rsid w:val="00C74FB2"/>
    <w:rsid w:val="00C77DD9"/>
    <w:rsid w:val="00C85624"/>
    <w:rsid w:val="00C91AB7"/>
    <w:rsid w:val="00C94236"/>
    <w:rsid w:val="00CA2B46"/>
    <w:rsid w:val="00CA79EF"/>
    <w:rsid w:val="00CB7D3E"/>
    <w:rsid w:val="00CC0C20"/>
    <w:rsid w:val="00CD5363"/>
    <w:rsid w:val="00D12962"/>
    <w:rsid w:val="00D25C5C"/>
    <w:rsid w:val="00D47356"/>
    <w:rsid w:val="00D57D29"/>
    <w:rsid w:val="00D63D1B"/>
    <w:rsid w:val="00D70F60"/>
    <w:rsid w:val="00D80069"/>
    <w:rsid w:val="00D8509C"/>
    <w:rsid w:val="00D9394F"/>
    <w:rsid w:val="00DB531D"/>
    <w:rsid w:val="00DE443D"/>
    <w:rsid w:val="00E12F31"/>
    <w:rsid w:val="00E263DB"/>
    <w:rsid w:val="00E3372A"/>
    <w:rsid w:val="00E7063E"/>
    <w:rsid w:val="00E80C29"/>
    <w:rsid w:val="00E84464"/>
    <w:rsid w:val="00EB1E23"/>
    <w:rsid w:val="00EB6522"/>
    <w:rsid w:val="00ED0BAC"/>
    <w:rsid w:val="00ED2E7E"/>
    <w:rsid w:val="00ED5CE5"/>
    <w:rsid w:val="00EF33BF"/>
    <w:rsid w:val="00EF3D34"/>
    <w:rsid w:val="00F1489B"/>
    <w:rsid w:val="00F2094A"/>
    <w:rsid w:val="00F36747"/>
    <w:rsid w:val="00F3783C"/>
    <w:rsid w:val="00F43873"/>
    <w:rsid w:val="00F66868"/>
    <w:rsid w:val="00F67821"/>
    <w:rsid w:val="00F81547"/>
    <w:rsid w:val="00F830E8"/>
    <w:rsid w:val="00F833BC"/>
    <w:rsid w:val="00F86818"/>
    <w:rsid w:val="00FF2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833B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4">
    <w:name w:val="Название Знак"/>
    <w:basedOn w:val="a0"/>
    <w:link w:val="a3"/>
    <w:rsid w:val="00F833B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334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341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80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80069"/>
  </w:style>
  <w:style w:type="paragraph" w:styleId="a9">
    <w:name w:val="footer"/>
    <w:basedOn w:val="a"/>
    <w:link w:val="aa"/>
    <w:uiPriority w:val="99"/>
    <w:unhideWhenUsed/>
    <w:rsid w:val="00D80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800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833B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4">
    <w:name w:val="Название Знак"/>
    <w:basedOn w:val="a0"/>
    <w:link w:val="a3"/>
    <w:rsid w:val="00F833B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334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341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80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80069"/>
  </w:style>
  <w:style w:type="paragraph" w:styleId="a9">
    <w:name w:val="footer"/>
    <w:basedOn w:val="a"/>
    <w:link w:val="aa"/>
    <w:uiPriority w:val="99"/>
    <w:unhideWhenUsed/>
    <w:rsid w:val="00D80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800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45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7;&#1083;&#1091;&#1078;&#1077;&#1073;&#1085;&#1072;&#1103;%20&#1087;&#1072;&#1087;&#1082;&#1072;\2019\&#1042;&#1085;&#1077;&#1096;&#1085;&#1103;&#1103;%20&#1090;&#1086;&#1088;&#1075;&#1086;&#1074;&#1083;&#1103;\4%20&#1082;&#1074;.2019\&#1057;&#1053;%20&#1050;&#1091;&#1088;&#1089;&#1082;\&#1056;&#1099;&#1073;&#1072;%20&#1090;&#1086;&#1088;&#1075;&#1086;&#1074;&#1099;&#1077;%20&#1087;&#1072;&#1088;&#1090;&#1085;&#1077;&#1088;&#1099;%20&#1075;&#1088;&#1072;&#1092;&#1080;&#1082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7;&#1083;&#1091;&#1078;&#1077;&#1073;&#1085;&#1072;&#1103;%20&#1087;&#1072;&#1087;&#1082;&#1072;\2019\&#1042;&#1085;&#1077;&#1096;&#1085;&#1103;&#1103;%20&#1090;&#1086;&#1088;&#1075;&#1086;&#1074;&#1083;&#1103;\4%20&#1082;&#1074;.2019\&#1057;&#1053;%20&#1050;&#1091;&#1088;&#1089;&#1082;\&#1058;&#1086;&#1074;&#1072;&#1088;&#1085;&#1072;&#1103;%20&#1089;&#1090;&#1088;&#1091;&#1082;&#1090;&#1091;&#1088;&#1072;%20&#1075;&#1088;&#1072;&#1092;&#1080;&#1082;3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7;&#1083;&#1091;&#1078;&#1077;&#1073;&#1085;&#1072;&#1103;%20&#1087;&#1072;&#1087;&#1082;&#1072;\2019\&#1042;&#1085;&#1077;&#1096;&#1085;&#1103;&#1103;%20&#1090;&#1086;&#1088;&#1075;&#1086;&#1074;&#1083;&#1103;\4%20&#1082;&#1074;.2019\&#1057;&#1053;%20&#1050;&#1091;&#1088;&#1089;&#1082;\&#1058;&#1086;&#1074;&#1072;&#1088;&#1085;&#1072;&#1103;%20&#1089;&#1090;&#1088;&#1091;&#1082;&#1090;&#1091;&#1088;&#1072;%20&#1075;&#1088;&#1072;&#1092;&#1080;&#1082;3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</c:spPr>
    </c:backWall>
    <c:plotArea>
      <c:layout>
        <c:manualLayout>
          <c:layoutTarget val="inner"/>
          <c:xMode val="edge"/>
          <c:yMode val="edge"/>
          <c:x val="0.11448087976344729"/>
          <c:y val="8.0216606293543755E-2"/>
          <c:w val="0.8710262799428552"/>
          <c:h val="0.58273895568669476"/>
        </c:manualLayout>
      </c:layout>
      <c:bar3DChart>
        <c:barDir val="col"/>
        <c:grouping val="clustered"/>
        <c:varyColors val="0"/>
        <c:ser>
          <c:idx val="2"/>
          <c:order val="0"/>
          <c:tx>
            <c:strRef>
              <c:f>Данные!$D$2</c:f>
              <c:strCache>
                <c:ptCount val="1"/>
                <c:pt idx="0">
                  <c:v>Оборот</c:v>
                </c:pt>
              </c:strCache>
            </c:strRef>
          </c:tx>
          <c:spPr>
            <a:gradFill flip="none" rotWithShape="1">
              <a:gsLst>
                <a:gs pos="0">
                  <a:srgbClr val="DDEBCF">
                    <a:lumMod val="8000"/>
                    <a:lumOff val="92000"/>
                  </a:srgbClr>
                </a:gs>
                <a:gs pos="50000">
                  <a:srgbClr val="9CB86E"/>
                </a:gs>
                <a:gs pos="100000">
                  <a:srgbClr val="156B13"/>
                </a:gs>
              </a:gsLst>
              <a:path path="shape">
                <a:fillToRect l="50000" t="50000" r="50000" b="50000"/>
              </a:path>
              <a:tileRect/>
            </a:gradFill>
            <a:ln>
              <a:noFill/>
            </a:ln>
            <a:scene3d>
              <a:camera prst="orthographicFront"/>
              <a:lightRig rig="morning" dir="t"/>
            </a:scene3d>
            <a:sp3d prstMaterial="dkEdge"/>
          </c:spPr>
          <c:invertIfNegative val="0"/>
          <c:cat>
            <c:strRef>
              <c:f>Данные!$A$5:$A$14</c:f>
              <c:strCache>
                <c:ptCount val="10"/>
                <c:pt idx="0">
                  <c:v>ШВЕЙЦАРИЯ</c:v>
                </c:pt>
                <c:pt idx="1">
                  <c:v>КИТАЙ</c:v>
                </c:pt>
                <c:pt idx="2">
                  <c:v>УКРАИНА</c:v>
                </c:pt>
                <c:pt idx="3">
                  <c:v>БЕЛАРУСЬ</c:v>
                </c:pt>
                <c:pt idx="4">
                  <c:v>ВЬЕТНАМ</c:v>
                </c:pt>
                <c:pt idx="5">
                  <c:v>СЛОВАКИЯ</c:v>
                </c:pt>
                <c:pt idx="6">
                  <c:v>КАЗАХСТАН</c:v>
                </c:pt>
                <c:pt idx="7">
                  <c:v>ТУРЦИЯ</c:v>
                </c:pt>
                <c:pt idx="8">
                  <c:v>ФРАНЦИЯ</c:v>
                </c:pt>
                <c:pt idx="9">
                  <c:v>ГЕРМАНИЯ</c:v>
                </c:pt>
              </c:strCache>
            </c:strRef>
          </c:cat>
          <c:val>
            <c:numRef>
              <c:f>Данные!$D$5:$D$14</c:f>
              <c:numCache>
                <c:formatCode>#,##0.0</c:formatCode>
                <c:ptCount val="10"/>
                <c:pt idx="0">
                  <c:v>195.34291774000002</c:v>
                </c:pt>
                <c:pt idx="1">
                  <c:v>182.39983313000002</c:v>
                </c:pt>
                <c:pt idx="2">
                  <c:v>181.27876643999997</c:v>
                </c:pt>
                <c:pt idx="3">
                  <c:v>111.24046927999999</c:v>
                </c:pt>
                <c:pt idx="4">
                  <c:v>65.436086489999994</c:v>
                </c:pt>
                <c:pt idx="5">
                  <c:v>58.236861179999998</c:v>
                </c:pt>
                <c:pt idx="6">
                  <c:v>56.060080040000003</c:v>
                </c:pt>
                <c:pt idx="7">
                  <c:v>54.039274080000006</c:v>
                </c:pt>
                <c:pt idx="8">
                  <c:v>46.293877309999999</c:v>
                </c:pt>
                <c:pt idx="9">
                  <c:v>44.69122174000001</c:v>
                </c:pt>
              </c:numCache>
            </c:numRef>
          </c:val>
        </c:ser>
        <c:ser>
          <c:idx val="0"/>
          <c:order val="1"/>
          <c:tx>
            <c:strRef>
              <c:f>Данные!$B$2</c:f>
              <c:strCache>
                <c:ptCount val="1"/>
                <c:pt idx="0">
                  <c:v>Экспорт</c:v>
                </c:pt>
              </c:strCache>
            </c:strRef>
          </c:tx>
          <c:spPr>
            <a:gradFill flip="none" rotWithShape="1">
              <a:gsLst>
                <a:gs pos="0">
                  <a:srgbClr val="000082"/>
                </a:gs>
                <a:gs pos="52000">
                  <a:srgbClr val="0047FF"/>
                </a:gs>
                <a:gs pos="100000">
                  <a:srgbClr val="0047FF"/>
                </a:gs>
              </a:gsLst>
              <a:lin ang="2700000" scaled="1"/>
              <a:tileRect/>
            </a:gradFill>
          </c:spPr>
          <c:invertIfNegative val="0"/>
          <c:cat>
            <c:strRef>
              <c:f>Данные!$A$5:$A$14</c:f>
              <c:strCache>
                <c:ptCount val="10"/>
                <c:pt idx="0">
                  <c:v>ШВЕЙЦАРИЯ</c:v>
                </c:pt>
                <c:pt idx="1">
                  <c:v>КИТАЙ</c:v>
                </c:pt>
                <c:pt idx="2">
                  <c:v>УКРАИНА</c:v>
                </c:pt>
                <c:pt idx="3">
                  <c:v>БЕЛАРУСЬ</c:v>
                </c:pt>
                <c:pt idx="4">
                  <c:v>ВЬЕТНАМ</c:v>
                </c:pt>
                <c:pt idx="5">
                  <c:v>СЛОВАКИЯ</c:v>
                </c:pt>
                <c:pt idx="6">
                  <c:v>КАЗАХСТАН</c:v>
                </c:pt>
                <c:pt idx="7">
                  <c:v>ТУРЦИЯ</c:v>
                </c:pt>
                <c:pt idx="8">
                  <c:v>ФРАНЦИЯ</c:v>
                </c:pt>
                <c:pt idx="9">
                  <c:v>ГЕРМАНИЯ</c:v>
                </c:pt>
              </c:strCache>
            </c:strRef>
          </c:cat>
          <c:val>
            <c:numRef>
              <c:f>Данные!$B$5:$B$14</c:f>
              <c:numCache>
                <c:formatCode>#,##0.0</c:formatCode>
                <c:ptCount val="10"/>
                <c:pt idx="0">
                  <c:v>3.0481650000000002E-2</c:v>
                </c:pt>
                <c:pt idx="1">
                  <c:v>152.63048034000002</c:v>
                </c:pt>
                <c:pt idx="2">
                  <c:v>67.536185159999988</c:v>
                </c:pt>
                <c:pt idx="3">
                  <c:v>64.22937992</c:v>
                </c:pt>
                <c:pt idx="4">
                  <c:v>65.365526899999992</c:v>
                </c:pt>
                <c:pt idx="5">
                  <c:v>57.706602459999999</c:v>
                </c:pt>
                <c:pt idx="6">
                  <c:v>41.934291629999997</c:v>
                </c:pt>
                <c:pt idx="7">
                  <c:v>46.414013020000006</c:v>
                </c:pt>
                <c:pt idx="8">
                  <c:v>41.389743549999999</c:v>
                </c:pt>
                <c:pt idx="9">
                  <c:v>22.330041370000004</c:v>
                </c:pt>
              </c:numCache>
            </c:numRef>
          </c:val>
        </c:ser>
        <c:ser>
          <c:idx val="1"/>
          <c:order val="2"/>
          <c:tx>
            <c:strRef>
              <c:f>Данные!$C$2</c:f>
              <c:strCache>
                <c:ptCount val="1"/>
                <c:pt idx="0">
                  <c:v>Импорт</c:v>
                </c:pt>
              </c:strCache>
            </c:strRef>
          </c:tx>
          <c:spPr>
            <a:gradFill flip="none" rotWithShape="1">
              <a:gsLst>
                <a:gs pos="0">
                  <a:srgbClr val="FFF200"/>
                </a:gs>
                <a:gs pos="81000">
                  <a:srgbClr val="FF0300"/>
                </a:gs>
                <a:gs pos="100000">
                  <a:srgbClr val="4D0808"/>
                </a:gs>
              </a:gsLst>
              <a:lin ang="2700000" scaled="1"/>
              <a:tileRect/>
            </a:gradFill>
          </c:spPr>
          <c:invertIfNegative val="0"/>
          <c:cat>
            <c:strRef>
              <c:f>Данные!$A$5:$A$14</c:f>
              <c:strCache>
                <c:ptCount val="10"/>
                <c:pt idx="0">
                  <c:v>ШВЕЙЦАРИЯ</c:v>
                </c:pt>
                <c:pt idx="1">
                  <c:v>КИТАЙ</c:v>
                </c:pt>
                <c:pt idx="2">
                  <c:v>УКРАИНА</c:v>
                </c:pt>
                <c:pt idx="3">
                  <c:v>БЕЛАРУСЬ</c:v>
                </c:pt>
                <c:pt idx="4">
                  <c:v>ВЬЕТНАМ</c:v>
                </c:pt>
                <c:pt idx="5">
                  <c:v>СЛОВАКИЯ</c:v>
                </c:pt>
                <c:pt idx="6">
                  <c:v>КАЗАХСТАН</c:v>
                </c:pt>
                <c:pt idx="7">
                  <c:v>ТУРЦИЯ</c:v>
                </c:pt>
                <c:pt idx="8">
                  <c:v>ФРАНЦИЯ</c:v>
                </c:pt>
                <c:pt idx="9">
                  <c:v>ГЕРМАНИЯ</c:v>
                </c:pt>
              </c:strCache>
            </c:strRef>
          </c:cat>
          <c:val>
            <c:numRef>
              <c:f>Данные!$C$5:$C$14</c:f>
              <c:numCache>
                <c:formatCode>#,##0.0</c:formatCode>
                <c:ptCount val="10"/>
                <c:pt idx="0">
                  <c:v>195.31243609000001</c:v>
                </c:pt>
                <c:pt idx="1">
                  <c:v>29.769352789999999</c:v>
                </c:pt>
                <c:pt idx="2">
                  <c:v>113.74258128</c:v>
                </c:pt>
                <c:pt idx="3">
                  <c:v>47.01108936</c:v>
                </c:pt>
                <c:pt idx="4">
                  <c:v>7.0559590000000005E-2</c:v>
                </c:pt>
                <c:pt idx="5">
                  <c:v>0.53025871999999996</c:v>
                </c:pt>
                <c:pt idx="6">
                  <c:v>14.12578841</c:v>
                </c:pt>
                <c:pt idx="7">
                  <c:v>7.6252610600000006</c:v>
                </c:pt>
                <c:pt idx="8">
                  <c:v>4.9041337599999997</c:v>
                </c:pt>
                <c:pt idx="9">
                  <c:v>22.361180370000003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70"/>
        <c:gapDepth val="102"/>
        <c:shape val="cylinder"/>
        <c:axId val="106783488"/>
        <c:axId val="106785024"/>
        <c:axId val="0"/>
      </c:bar3DChart>
      <c:catAx>
        <c:axId val="106783488"/>
        <c:scaling>
          <c:orientation val="minMax"/>
        </c:scaling>
        <c:delete val="0"/>
        <c:axPos val="b"/>
        <c:majorTickMark val="out"/>
        <c:minorTickMark val="none"/>
        <c:tickLblPos val="nextTo"/>
        <c:spPr>
          <a:noFill/>
        </c:spPr>
        <c:txPr>
          <a:bodyPr/>
          <a:lstStyle/>
          <a:p>
            <a:pPr>
              <a:defRPr sz="900"/>
            </a:pPr>
            <a:endParaRPr lang="ru-RU"/>
          </a:p>
        </c:txPr>
        <c:crossAx val="106785024"/>
        <c:crosses val="autoZero"/>
        <c:auto val="1"/>
        <c:lblAlgn val="ctr"/>
        <c:lblOffset val="100"/>
        <c:noMultiLvlLbl val="0"/>
      </c:catAx>
      <c:valAx>
        <c:axId val="106785024"/>
        <c:scaling>
          <c:orientation val="minMax"/>
        </c:scaling>
        <c:delete val="0"/>
        <c:axPos val="l"/>
        <c:title>
          <c:tx>
            <c:rich>
              <a:bodyPr rot="-5400000" vert="horz"/>
              <a:lstStyle/>
              <a:p>
                <a:pPr>
                  <a:defRPr sz="1100"/>
                </a:pPr>
                <a:r>
                  <a:rPr lang="ru-RU" sz="1100"/>
                  <a:t>млн. долларов США</a:t>
                </a:r>
              </a:p>
            </c:rich>
          </c:tx>
          <c:layout>
            <c:manualLayout>
              <c:xMode val="edge"/>
              <c:yMode val="edge"/>
              <c:x val="1.7625004152961896E-2"/>
              <c:y val="0.14466874146131301"/>
            </c:manualLayout>
          </c:layout>
          <c:overlay val="0"/>
        </c:title>
        <c:numFmt formatCode="#,##0.0" sourceLinked="1"/>
        <c:majorTickMark val="out"/>
        <c:minorTickMark val="none"/>
        <c:tickLblPos val="nextTo"/>
        <c:crossAx val="106783488"/>
        <c:crosses val="autoZero"/>
        <c:crossBetween val="between"/>
      </c:valAx>
    </c:plotArea>
    <c:legend>
      <c:legendPos val="t"/>
      <c:overlay val="0"/>
      <c:txPr>
        <a:bodyPr/>
        <a:lstStyle/>
        <a:p>
          <a:pPr>
            <a:defRPr sz="1200"/>
          </a:pPr>
          <a:endParaRPr lang="ru-RU"/>
        </a:p>
      </c:txPr>
    </c:legend>
    <c:plotVisOnly val="1"/>
    <c:dispBlanksAs val="gap"/>
    <c:showDLblsOverMax val="0"/>
  </c:chart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9872340262006047"/>
          <c:y val="0"/>
          <c:w val="0.7290539268243007"/>
          <c:h val="1"/>
        </c:manualLayout>
      </c:layout>
      <c:pieChart>
        <c:varyColors val="1"/>
        <c:ser>
          <c:idx val="0"/>
          <c:order val="0"/>
          <c:tx>
            <c:strRef>
              <c:f>Экспорт!$H$13</c:f>
              <c:strCache>
                <c:ptCount val="1"/>
                <c:pt idx="0">
                  <c:v>Уд.вес</c:v>
                </c:pt>
              </c:strCache>
            </c:strRef>
          </c:tx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Pt>
            <c:idx val="4"/>
            <c:bubble3D val="0"/>
          </c:dPt>
          <c:dLbls>
            <c:dLbl>
              <c:idx val="0"/>
              <c:layout>
                <c:manualLayout>
                  <c:x val="-0.17232500560171743"/>
                  <c:y val="0.21"/>
                </c:manualLayout>
              </c:layout>
              <c:spPr/>
              <c:txPr>
                <a:bodyPr/>
                <a:lstStyle/>
                <a:p>
                  <a:pPr>
                    <a:defRPr sz="1100" b="1">
                      <a:solidFill>
                        <a:schemeClr val="bg1"/>
                      </a:solidFill>
                    </a:defRPr>
                  </a:pPr>
                  <a:endParaRPr lang="ru-RU"/>
                </a:p>
              </c:txPr>
              <c:dLblPos val="bestFit"/>
              <c:showLegendKey val="1"/>
              <c:showVal val="0"/>
              <c:showCatName val="1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8.8988743569646783E-2"/>
                  <c:y val="-0.13666666666666666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solidFill>
                          <a:schemeClr val="bg1"/>
                        </a:solidFill>
                      </a:rPr>
                      <a:t>Продовольственные товары и сырье- 23,4%</a:t>
                    </a:r>
                  </a:p>
                </c:rich>
              </c:tx>
              <c:dLblPos val="bestFit"/>
              <c:showLegendKey val="1"/>
              <c:showVal val="0"/>
              <c:showCatName val="1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6.1760027074192772E-2"/>
                  <c:y val="0.15"/>
                </c:manualLayout>
              </c:layout>
              <c:dLblPos val="bestFit"/>
              <c:showLegendKey val="1"/>
              <c:showVal val="0"/>
              <c:showCatName val="1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0746474172131245E-2"/>
                  <c:y val="0.19768110236220474"/>
                </c:manualLayout>
              </c:layout>
              <c:dLblPos val="bestFit"/>
              <c:showLegendKey val="1"/>
              <c:showVal val="0"/>
              <c:showCatName val="1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8.4937655906720477E-2"/>
                  <c:y val="0.1850724409448819"/>
                </c:manualLayout>
              </c:layout>
              <c:dLblPos val="bestFit"/>
              <c:showLegendKey val="1"/>
              <c:showVal val="0"/>
              <c:showCatName val="1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0.11521984300315277"/>
                  <c:y val="0.13333333333333333"/>
                </c:manualLayout>
              </c:layout>
              <c:dLblPos val="bestFit"/>
              <c:showLegendKey val="1"/>
              <c:showVal val="0"/>
              <c:showCatName val="1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0.17855783436209688"/>
                  <c:y val="0.02"/>
                </c:manualLayout>
              </c:layout>
              <c:dLblPos val="bestFit"/>
              <c:showLegendKey val="1"/>
              <c:showVal val="0"/>
              <c:showCatName val="1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0"/>
                </a:pPr>
                <a:endParaRPr lang="ru-RU"/>
              </a:p>
            </c:txPr>
            <c:dLblPos val="outEnd"/>
            <c:showLegendKey val="1"/>
            <c:showVal val="0"/>
            <c:showCatName val="1"/>
            <c:showSerName val="0"/>
            <c:showPercent val="0"/>
            <c:showBubbleSize val="0"/>
            <c:showLeaderLines val="0"/>
          </c:dLbls>
          <c:cat>
            <c:strRef>
              <c:f>Экспорт!$G$14:$G$20</c:f>
              <c:strCache>
                <c:ptCount val="7"/>
                <c:pt idx="0">
                  <c:v>Минеральные продукты - 51,8%</c:v>
                </c:pt>
                <c:pt idx="1">
                  <c:v>Продовольствен-ные товары и сырье - 23,4%</c:v>
                </c:pt>
                <c:pt idx="2">
                  <c:v>Продукция химической промышлен-ности, каучук - 9,6%</c:v>
                </c:pt>
                <c:pt idx="3">
                  <c:v>Текстиль, текстильные изделия и обувь - 4,5%</c:v>
                </c:pt>
                <c:pt idx="4">
                  <c:v>Машино-строительная продукция - 4,5%</c:v>
                </c:pt>
                <c:pt idx="5">
                  <c:v>Металлы и изделия из них - 3,9%</c:v>
                </c:pt>
                <c:pt idx="6">
                  <c:v>Другие товары -2,2%</c:v>
                </c:pt>
              </c:strCache>
            </c:strRef>
          </c:cat>
          <c:val>
            <c:numRef>
              <c:f>Экспорт!$H$14:$H$20</c:f>
              <c:numCache>
                <c:formatCode>0.0</c:formatCode>
                <c:ptCount val="7"/>
                <c:pt idx="0">
                  <c:v>51.8</c:v>
                </c:pt>
                <c:pt idx="1">
                  <c:v>23.4</c:v>
                </c:pt>
                <c:pt idx="2">
                  <c:v>9.6</c:v>
                </c:pt>
                <c:pt idx="3">
                  <c:v>4.5</c:v>
                </c:pt>
                <c:pt idx="4">
                  <c:v>4.5</c:v>
                </c:pt>
                <c:pt idx="5">
                  <c:v>3.9</c:v>
                </c:pt>
                <c:pt idx="6">
                  <c:v>2.2999999999999998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  <c:showLeaderLines val="0"/>
        </c:dLbls>
        <c:firstSliceAng val="326"/>
      </c:pieChart>
    </c:plotArea>
    <c:plotVisOnly val="1"/>
    <c:dispBlanksAs val="gap"/>
    <c:showDLblsOverMax val="0"/>
  </c:chart>
  <c:spPr>
    <a:ln>
      <a:noFill/>
    </a:ln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autoTitleDeleted val="0"/>
    <c:plotArea>
      <c:layout>
        <c:manualLayout>
          <c:layoutTarget val="inner"/>
          <c:xMode val="edge"/>
          <c:yMode val="edge"/>
          <c:x val="0.23472222222222222"/>
          <c:y val="1.2388649034930862E-2"/>
          <c:w val="0.64760520559930013"/>
          <c:h val="0.97506429952215823"/>
        </c:manualLayout>
      </c:layout>
      <c:pieChart>
        <c:varyColors val="1"/>
        <c:ser>
          <c:idx val="0"/>
          <c:order val="0"/>
          <c:dLbls>
            <c:dLbl>
              <c:idx val="0"/>
              <c:layout>
                <c:manualLayout>
                  <c:x val="-0.23333333333333334"/>
                  <c:y val="0.15056461731493098"/>
                </c:manualLayout>
              </c:layout>
              <c:spPr>
                <a:ln>
                  <a:noFill/>
                </a:ln>
              </c:spPr>
              <c:txPr>
                <a:bodyPr rot="0"/>
                <a:lstStyle/>
                <a:p>
                  <a:pPr>
                    <a:defRPr sz="1100" b="1">
                      <a:solidFill>
                        <a:schemeClr val="bg1"/>
                      </a:solidFill>
                    </a:defRPr>
                  </a:pPr>
                  <a:endParaRPr lang="ru-RU"/>
                </a:p>
              </c:txPr>
              <c:dLblPos val="bestFit"/>
              <c:showLegendKey val="1"/>
              <c:showVal val="0"/>
              <c:showCatName val="1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7299876760096948E-2"/>
                  <c:y val="-0.13225919624368562"/>
                </c:manualLayout>
              </c:layout>
              <c:tx>
                <c:rich>
                  <a:bodyPr rot="0"/>
                  <a:lstStyle/>
                  <a:p>
                    <a:pPr>
                      <a:defRPr sz="1100" b="1">
                        <a:solidFill>
                          <a:schemeClr val="bg1"/>
                        </a:solidFill>
                      </a:defRPr>
                    </a:pPr>
                    <a:r>
                      <a:rPr lang="ru-RU" b="0">
                        <a:solidFill>
                          <a:schemeClr val="bg1"/>
                        </a:solidFill>
                      </a:rPr>
                      <a:t>Машино-строительная продукция - 23,2%</a:t>
                    </a:r>
                  </a:p>
                </c:rich>
              </c:tx>
              <c:spPr>
                <a:ln>
                  <a:noFill/>
                </a:ln>
              </c:spPr>
              <c:dLblPos val="bestFit"/>
              <c:showLegendKey val="1"/>
              <c:showVal val="0"/>
              <c:showCatName val="1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8.5922056471099836E-2"/>
                  <c:y val="2.0886585156754903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Продовольственные товары и сырье- 8,5%</a:t>
                    </a:r>
                  </a:p>
                </c:rich>
              </c:tx>
              <c:dLblPos val="bestFit"/>
              <c:showLegendKey val="1"/>
              <c:showVal val="0"/>
              <c:showCatName val="1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1.8271297709784188E-5"/>
                  <c:y val="0.14576029755074585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Металлы и изделия из них- 7,5%</a:t>
                    </a:r>
                  </a:p>
                </c:rich>
              </c:tx>
              <c:dLblPos val="bestFit"/>
              <c:showLegendKey val="1"/>
              <c:showVal val="0"/>
              <c:showCatName val="1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8.0901651999382429E-3"/>
                  <c:y val="0.15999261398857806"/>
                </c:manualLayout>
              </c:layout>
              <c:dLblPos val="bestFit"/>
              <c:showLegendKey val="1"/>
              <c:showVal val="0"/>
              <c:showCatName val="1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8.0601089152056479E-2"/>
                  <c:y val="9.380234505862646E-2"/>
                </c:manualLayout>
              </c:layout>
              <c:dLblPos val="bestFit"/>
              <c:showLegendKey val="1"/>
              <c:showVal val="0"/>
              <c:showCatName val="1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8.7066753272617814E-2"/>
                  <c:y val="-2.3450586264656615E-2"/>
                </c:manualLayout>
              </c:layout>
              <c:dLblPos val="bestFit"/>
              <c:showLegendKey val="1"/>
              <c:showVal val="0"/>
              <c:showCatName val="1"/>
              <c:showSerName val="0"/>
              <c:showPercent val="0"/>
              <c:showBubbleSize val="0"/>
            </c:dLbl>
            <c:spPr>
              <a:ln>
                <a:noFill/>
              </a:ln>
            </c:spPr>
            <c:txPr>
              <a:bodyPr rot="0"/>
              <a:lstStyle/>
              <a:p>
                <a:pPr>
                  <a:defRPr sz="1100"/>
                </a:pPr>
                <a:endParaRPr lang="ru-RU"/>
              </a:p>
            </c:txPr>
            <c:dLblPos val="outEnd"/>
            <c:showLegendKey val="1"/>
            <c:showVal val="0"/>
            <c:showCatName val="1"/>
            <c:showSerName val="0"/>
            <c:showPercent val="0"/>
            <c:showBubbleSize val="0"/>
            <c:showLeaderLines val="0"/>
          </c:dLbls>
          <c:cat>
            <c:strRef>
              <c:f>'Импорт '!$G$14:$G$20</c:f>
              <c:strCache>
                <c:ptCount val="7"/>
                <c:pt idx="0">
                  <c:v>Продукция химической промышлен-ности, каучук - 48,8%</c:v>
                </c:pt>
                <c:pt idx="1">
                  <c:v>Машино-строительная продукция - 23,2%</c:v>
                </c:pt>
                <c:pt idx="2">
                  <c:v>Продовольствен-ные товары и сырье - 8,5%</c:v>
                </c:pt>
                <c:pt idx="3">
                  <c:v>Металлы и изделия из них - 7,5%</c:v>
                </c:pt>
                <c:pt idx="4">
                  <c:v>Текстиль, текстильные изделия и обувь - 5,1%</c:v>
                </c:pt>
                <c:pt idx="5">
                  <c:v>Древесина и целлюлозно-бумажные изделия - 4,6%</c:v>
                </c:pt>
                <c:pt idx="6">
                  <c:v>Другие товары - 2,3%</c:v>
                </c:pt>
              </c:strCache>
            </c:strRef>
          </c:cat>
          <c:val>
            <c:numRef>
              <c:f>'Импорт '!$H$14:$H$20</c:f>
              <c:numCache>
                <c:formatCode>0.0</c:formatCode>
                <c:ptCount val="7"/>
                <c:pt idx="0">
                  <c:v>48.8</c:v>
                </c:pt>
                <c:pt idx="1">
                  <c:v>23.2</c:v>
                </c:pt>
                <c:pt idx="2">
                  <c:v>8.5</c:v>
                </c:pt>
                <c:pt idx="3">
                  <c:v>7.5</c:v>
                </c:pt>
                <c:pt idx="4">
                  <c:v>5.0999999999999996</c:v>
                </c:pt>
                <c:pt idx="5">
                  <c:v>4.5999999999999996</c:v>
                </c:pt>
                <c:pt idx="6">
                  <c:v>2.2999999999999998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0"/>
        </c:dLbls>
        <c:firstSliceAng val="320"/>
      </c:pieChart>
    </c:plotArea>
    <c:plotVisOnly val="1"/>
    <c:dispBlanksAs val="gap"/>
    <c:showDLblsOverMax val="0"/>
  </c:chart>
  <c:spPr>
    <a:ln>
      <a:noFill/>
    </a:ln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529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Журавлева Яна Корнелиевна</dc:creator>
  <cp:lastModifiedBy>Леонова Светлана Николаевна</cp:lastModifiedBy>
  <cp:revision>6</cp:revision>
  <cp:lastPrinted>2020-03-05T09:22:00Z</cp:lastPrinted>
  <dcterms:created xsi:type="dcterms:W3CDTF">2020-03-04T10:36:00Z</dcterms:created>
  <dcterms:modified xsi:type="dcterms:W3CDTF">2020-03-10T07:06:00Z</dcterms:modified>
</cp:coreProperties>
</file>