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4D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3E661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</w:t>
      </w:r>
      <w:r w:rsidR="006A19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6A19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390C4D" w:rsidRDefault="00E76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за </w:t>
      </w:r>
      <w:r w:rsidR="00390C4D"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E36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D7D1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390C4D"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</w:t>
      </w:r>
    </w:p>
    <w:p w:rsidR="009E36C0" w:rsidRPr="009E36C0" w:rsidRDefault="009E36C0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34DB" w:rsidRPr="00F833BC" w:rsidRDefault="00D611A9" w:rsidP="005C34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1A9">
        <w:rPr>
          <w:noProof/>
          <w:sz w:val="24"/>
          <w:szCs w:val="24"/>
          <w:lang w:eastAsia="ru-RU"/>
        </w:rPr>
        <w:drawing>
          <wp:inline distT="0" distB="0" distL="0" distR="0" wp14:anchorId="07DB1329" wp14:editId="7A7AC2AA">
            <wp:extent cx="6299835" cy="1747154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174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24" w:rsidRPr="002B3E24" w:rsidRDefault="002B3E24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данным таможенной статистики в течение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года предприятия и организации, зарегистрированные в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>, осуществляли торговлю с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13D41">
        <w:rPr>
          <w:rFonts w:ascii="Times New Roman" w:eastAsia="Times New Roman" w:hAnsi="Times New Roman" w:cs="Times New Roman"/>
          <w:sz w:val="24"/>
          <w:szCs w:val="20"/>
          <w:lang w:eastAsia="ru-RU"/>
        </w:rPr>
        <w:t>228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странами мира. Их количество </w:t>
      </w:r>
      <w:r w:rsidR="00F13D41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снизилось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отношению к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23763A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F13D41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7C3DEF">
        <w:rPr>
          <w:rFonts w:ascii="Times New Roman" w:eastAsia="Times New Roman" w:hAnsi="Times New Roman" w:cs="Times New Roman"/>
          <w:sz w:val="24"/>
          <w:szCs w:val="20"/>
          <w:lang w:eastAsia="ru-RU"/>
        </w:rPr>
        <w:t>,4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F13D41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стран).</w:t>
      </w: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Внешнеторговый оборот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23763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9D4E3A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F13D41">
        <w:rPr>
          <w:rFonts w:ascii="Times New Roman" w:eastAsia="Times New Roman" w:hAnsi="Times New Roman" w:cs="Times New Roman"/>
          <w:sz w:val="24"/>
          <w:szCs w:val="20"/>
          <w:lang w:eastAsia="ru-RU"/>
        </w:rPr>
        <w:t>309,9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сравнению с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9D4E3A">
        <w:rPr>
          <w:rFonts w:ascii="Times New Roman" w:eastAsia="Times New Roman" w:hAnsi="Times New Roman" w:cs="Times New Roman"/>
          <w:sz w:val="24"/>
          <w:szCs w:val="20"/>
          <w:lang w:eastAsia="ru-RU"/>
        </w:rPr>
        <w:t>ом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>ократился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F13D41">
        <w:rPr>
          <w:rFonts w:ascii="Times New Roman" w:eastAsia="Times New Roman" w:hAnsi="Times New Roman" w:cs="Times New Roman"/>
          <w:sz w:val="24"/>
          <w:szCs w:val="20"/>
          <w:lang w:eastAsia="ru-RU"/>
        </w:rPr>
        <w:t>15,4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207E52" w:rsidRPr="005D7BDE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Экспорт </w:t>
      </w:r>
      <w:r w:rsidR="001F6DFF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снизи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лся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23,0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составил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162,9</w:t>
      </w:r>
      <w:r w:rsidR="001F5A90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счёт </w:t>
      </w:r>
      <w:r w:rsidR="001F6DFF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сокращения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стоимости э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кспорт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страны дальнего зарубежья (ДЗ) на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24,5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%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страны СНГ 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13,2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Стоимостные объемы импорта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относительно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уменьшились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4,9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составили </w:t>
      </w:r>
      <w:r w:rsidR="0015105A">
        <w:rPr>
          <w:rFonts w:ascii="Times New Roman" w:eastAsia="Times New Roman" w:hAnsi="Times New Roman" w:cs="Times New Roman"/>
          <w:sz w:val="24"/>
          <w:szCs w:val="20"/>
          <w:lang w:eastAsia="ru-RU"/>
        </w:rPr>
        <w:t>147,0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</w:t>
      </w: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итогам истекшего 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сальдо торгового баланса сложилось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положительное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составило </w:t>
      </w:r>
      <w:r w:rsidR="007603D0">
        <w:rPr>
          <w:rFonts w:ascii="Times New Roman" w:eastAsia="Times New Roman" w:hAnsi="Times New Roman" w:cs="Times New Roman"/>
          <w:sz w:val="24"/>
          <w:szCs w:val="20"/>
          <w:lang w:eastAsia="ru-RU"/>
        </w:rPr>
        <w:t>15,9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Экспорт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товаров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из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стоимости превышает объемы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импорта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это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регион в </w:t>
      </w:r>
      <w:r w:rsidR="006A1953">
        <w:rPr>
          <w:rFonts w:ascii="Times New Roman" w:eastAsia="Times New Roman" w:hAnsi="Times New Roman" w:cs="Times New Roman"/>
          <w:sz w:val="24"/>
          <w:szCs w:val="20"/>
          <w:lang w:eastAsia="ru-RU"/>
        </w:rPr>
        <w:t>1,</w:t>
      </w:r>
      <w:r w:rsidR="007603D0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раза.</w:t>
      </w:r>
    </w:p>
    <w:p w:rsidR="007A6A74" w:rsidRPr="0023763A" w:rsidRDefault="007A6A74" w:rsidP="007A6A7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677E" w:rsidRPr="00BB677E" w:rsidRDefault="00BB677E" w:rsidP="00BB677E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Итоги внешней торговли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  <w:r w:rsidR="007D613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 странами дальнего зарубежья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23763A" w:rsidRDefault="00BB677E" w:rsidP="00BB677E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Товарооборот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 странами дальнего зарубежья за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 составил </w:t>
      </w:r>
      <w:r w:rsidR="007603D0">
        <w:rPr>
          <w:rFonts w:ascii="Times New Roman" w:eastAsia="Times New Roman" w:hAnsi="Times New Roman" w:cs="Times New Roman"/>
          <w:sz w:val="24"/>
          <w:szCs w:val="20"/>
          <w:lang w:eastAsia="ru-RU"/>
        </w:rPr>
        <w:t>271,7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сравнению с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>ом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>низился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7603D0">
        <w:rPr>
          <w:rFonts w:ascii="Times New Roman" w:eastAsia="Times New Roman" w:hAnsi="Times New Roman" w:cs="Times New Roman"/>
          <w:sz w:val="24"/>
          <w:szCs w:val="20"/>
          <w:lang w:eastAsia="ru-RU"/>
        </w:rPr>
        <w:t>15,9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Оборот внешней торговли со странами ДЗ в </w:t>
      </w:r>
      <w:r w:rsidR="00662B4C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5B2BFF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7603D0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</w:t>
      </w:r>
      <w:r w:rsidR="004C7FEE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превышает оборот со странами СНГ.</w:t>
      </w: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Экспо</w:t>
      </w:r>
      <w:proofErr w:type="gramStart"/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рт в стр</w:t>
      </w:r>
      <w:proofErr w:type="gramEnd"/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аны дальнего зарубежья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>ократился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5B656B">
        <w:rPr>
          <w:rFonts w:ascii="Times New Roman" w:eastAsia="Times New Roman" w:hAnsi="Times New Roman" w:cs="Times New Roman"/>
          <w:sz w:val="24"/>
          <w:szCs w:val="20"/>
          <w:lang w:eastAsia="ru-RU"/>
        </w:rPr>
        <w:t>24,5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составил </w:t>
      </w:r>
      <w:r w:rsidR="005B656B">
        <w:rPr>
          <w:rFonts w:ascii="Times New Roman" w:eastAsia="Times New Roman" w:hAnsi="Times New Roman" w:cs="Times New Roman"/>
          <w:sz w:val="24"/>
          <w:szCs w:val="20"/>
          <w:lang w:eastAsia="ru-RU"/>
        </w:rPr>
        <w:t>139,7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Импорт из стран ДЗ составил </w:t>
      </w:r>
      <w:r w:rsidR="005B656B">
        <w:rPr>
          <w:rFonts w:ascii="Times New Roman" w:eastAsia="Times New Roman" w:hAnsi="Times New Roman" w:cs="Times New Roman"/>
          <w:sz w:val="24"/>
          <w:szCs w:val="20"/>
          <w:lang w:eastAsia="ru-RU"/>
        </w:rPr>
        <w:t>132,0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отношению к показателям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B65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года уменьшился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B656B">
        <w:rPr>
          <w:rFonts w:ascii="Times New Roman" w:eastAsia="Times New Roman" w:hAnsi="Times New Roman" w:cs="Times New Roman"/>
          <w:sz w:val="24"/>
          <w:szCs w:val="20"/>
          <w:lang w:eastAsia="ru-RU"/>
        </w:rPr>
        <w:t>4,5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%. </w:t>
      </w:r>
    </w:p>
    <w:p w:rsidR="00390C4D" w:rsidRDefault="00BB677E" w:rsidP="00EC7086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итогам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внешняя торговля со странами дальнего зарубежья характеризуется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положительным</w:t>
      </w:r>
      <w:r w:rsidR="00EC70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сальдо 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5B656B">
        <w:rPr>
          <w:rFonts w:ascii="Times New Roman" w:eastAsia="Times New Roman" w:hAnsi="Times New Roman" w:cs="Times New Roman"/>
          <w:sz w:val="24"/>
          <w:szCs w:val="20"/>
          <w:lang w:eastAsia="ru-RU"/>
        </w:rPr>
        <w:t>7,7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США.</w:t>
      </w:r>
    </w:p>
    <w:p w:rsidR="00390C4D" w:rsidRDefault="00390C4D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B50903" w:rsidRDefault="00BB677E" w:rsidP="00BB677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Итоги внешней торговли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  <w:r w:rsidR="00B03AAC"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BB677E" w:rsidRDefault="00BB677E" w:rsidP="00BB677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 странами СНГ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BB677E" w:rsidRDefault="00BB677E" w:rsidP="00BB677E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 внешней торговли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государствами СНГ </w:t>
      </w:r>
      <w:r w:rsidR="00FF09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(с учётом стран - членов ЕАЭС)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 составил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>38,2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США, что на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>11,</w:t>
      </w:r>
      <w:r w:rsidR="00EC348B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ьше показателей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года, в том числе экспорт –</w:t>
      </w:r>
      <w:r w:rsidR="00A158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>23,2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 (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снижение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>13,</w:t>
      </w:r>
      <w:r w:rsidR="00EC348B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импорт –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>15,0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 (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снижение </w:t>
      </w:r>
      <w:r w:rsidR="005E3F57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>8,6%).</w:t>
      </w:r>
    </w:p>
    <w:p w:rsidR="008F3EF8" w:rsidRPr="00F44EA1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E3F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объемы 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экспорта </w:t>
      </w:r>
      <w:r w:rsidR="00361AE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целом 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повлияло</w:t>
      </w:r>
      <w:r w:rsidR="00361AE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в основном, </w:t>
      </w:r>
      <w:r w:rsidR="002425C2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сокращение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вывоза российских товаров </w:t>
      </w:r>
      <w:r w:rsidR="00361AEE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583938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5232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Беларусь </w:t>
      </w:r>
      <w:r w:rsidR="005769A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="0005232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361AEE">
        <w:rPr>
          <w:rFonts w:ascii="Times New Roman" w:eastAsia="Times New Roman" w:hAnsi="Times New Roman" w:cs="Times New Roman"/>
          <w:sz w:val="24"/>
          <w:szCs w:val="20"/>
          <w:lang w:eastAsia="ru-RU"/>
        </w:rPr>
        <w:t>22,2</w:t>
      </w:r>
      <w:r w:rsidR="0005232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%</w:t>
      </w:r>
      <w:r w:rsidR="005769A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 w:rsidR="00361AEE">
        <w:rPr>
          <w:rFonts w:ascii="Times New Roman" w:eastAsia="Times New Roman" w:hAnsi="Times New Roman" w:cs="Times New Roman"/>
          <w:sz w:val="24"/>
          <w:szCs w:val="20"/>
          <w:lang w:eastAsia="ru-RU"/>
        </w:rPr>
        <w:t>2,9</w:t>
      </w:r>
      <w:r w:rsidR="005769A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 мл</w:t>
      </w:r>
      <w:r w:rsidR="00361AEE">
        <w:rPr>
          <w:rFonts w:ascii="Times New Roman" w:eastAsia="Times New Roman" w:hAnsi="Times New Roman" w:cs="Times New Roman"/>
          <w:sz w:val="24"/>
          <w:szCs w:val="20"/>
          <w:lang w:eastAsia="ru-RU"/>
        </w:rPr>
        <w:t>рд</w:t>
      </w:r>
      <w:r w:rsidR="005769A7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США)</w:t>
      </w:r>
      <w:r w:rsidR="005E610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C708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61AEE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Из стран СНГ </w:t>
      </w:r>
      <w:r w:rsidR="008F3EF8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 экспорта наблюдается только</w:t>
      </w:r>
      <w:r w:rsidR="00361AEE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8F3EF8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>Туркменистан</w:t>
      </w:r>
      <w:r w:rsidR="00361AEE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(на </w:t>
      </w:r>
      <w:r w:rsidR="008F3EF8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>46,4</w:t>
      </w:r>
      <w:r w:rsidR="00361AEE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или на </w:t>
      </w:r>
      <w:r w:rsid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>45,6</w:t>
      </w:r>
      <w:r w:rsidR="00361AEE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> млн. долларов США)</w:t>
      </w:r>
      <w:r w:rsidR="008F3EF8" w:rsidRPr="00F44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Узбекистан (на 20,2% или на 248,7 млн. долларов США).</w:t>
      </w:r>
    </w:p>
    <w:p w:rsidR="00E15C29" w:rsidRDefault="00661394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Снижение </w:t>
      </w:r>
      <w:r w:rsidR="00BB677E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стоимостных объемов импорта </w:t>
      </w:r>
      <w:r w:rsidR="002425C2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обусловлен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, в основном, 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меньшением</w:t>
      </w:r>
      <w:r w:rsidR="00BB677E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поставок из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Украины (на 646,3 млн. долларов США или на 27,4%), Казахстана (на 364,5 млн. долларов США или на 17,9%), 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Беларуси</w:t>
      </w:r>
      <w:r w:rsidR="002425C2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8393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340,2</w:t>
      </w:r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58393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58393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</w:t>
      </w:r>
      <w:proofErr w:type="gramStart"/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3,6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возрос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импорт из 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збекистана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84,3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12,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Таджикистана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10,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36,3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Сальдо торгового баланса сложилось положительное и составило </w:t>
      </w:r>
      <w:r w:rsidR="00496710">
        <w:rPr>
          <w:rFonts w:ascii="Times New Roman" w:eastAsia="Times New Roman" w:hAnsi="Times New Roman" w:cs="Times New Roman"/>
          <w:sz w:val="24"/>
          <w:szCs w:val="20"/>
          <w:lang w:eastAsia="ru-RU"/>
        </w:rPr>
        <w:t>8,2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США.</w:t>
      </w:r>
    </w:p>
    <w:p w:rsidR="00171085" w:rsidRDefault="00171085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710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8C2B42" w:rsidRPr="00BB677E" w:rsidRDefault="008C2B42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71085" w:rsidRDefault="00171085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были: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Китай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19,1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от всего товарооборота </w:t>
      </w:r>
      <w:r w:rsidR="000576E7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</w:t>
      </w:r>
      <w:r w:rsidR="009E36C0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>,0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Германия</w:t>
      </w:r>
      <w:r w:rsidR="00544B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0576E7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9,6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Соединенное Королевство 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6,9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3,3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Беларусь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6,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6,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Италия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4,8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5,0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США 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4,6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4,1</w:t>
      </w:r>
      <w:r w:rsidR="00836930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Нидерланды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3,7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5,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Турция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3,7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4,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Польша –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2,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2,9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Франция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2,6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836930">
        <w:rPr>
          <w:rFonts w:ascii="Times New Roman" w:eastAsia="Times New Roman" w:hAnsi="Times New Roman" w:cs="Times New Roman"/>
          <w:sz w:val="24"/>
          <w:szCs w:val="20"/>
          <w:lang w:eastAsia="ru-RU"/>
        </w:rPr>
        <w:t>2,6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64FE4" w:rsidRPr="00855CF9" w:rsidRDefault="00664FE4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5CF9" w:rsidRDefault="00836930" w:rsidP="00855CF9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DD2FE84" wp14:editId="2FC204F2">
            <wp:extent cx="6477000" cy="3444240"/>
            <wp:effectExtent l="0" t="0" r="19050" b="228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50903" w:rsidRDefault="009D352A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Товарная структура ЭКСПОРТА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9D352A" w:rsidRDefault="00B50903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F53950" w:rsidRPr="009D352A" w:rsidRDefault="00F53950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D352A" w:rsidRDefault="00C21CFF" w:rsidP="00664FE4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7325B0E" wp14:editId="51DBF94F">
            <wp:extent cx="5707380" cy="3810000"/>
            <wp:effectExtent l="0" t="0" r="2667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50903" w:rsidRDefault="002F19E1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Товарная структура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ИМ</w:t>
      </w: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ПОРТА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9D352A" w:rsidRDefault="00B50903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2475F5" w:rsidRDefault="002475F5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D352A" w:rsidRDefault="001F34A0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98E00AE">
            <wp:extent cx="5631180" cy="3749040"/>
            <wp:effectExtent l="0" t="0" r="762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10" cy="3745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BCB" w:rsidRDefault="00C65B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4CE0" w:rsidRDefault="001F4CE0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</w:p>
    <w:p w:rsidR="00052327" w:rsidRDefault="00C65BCB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Итоги внешней торговли 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C65BCB" w:rsidRDefault="00C65BCB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разрезе субъектов </w:t>
      </w: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</w:t>
      </w:r>
      <w:r w:rsidR="009E36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</w:t>
      </w:r>
      <w:r w:rsidR="005049F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</w:t>
      </w:r>
    </w:p>
    <w:p w:rsidR="00791892" w:rsidRDefault="00791892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91892" w:rsidRDefault="00791892" w:rsidP="00C65BCB">
      <w:pPr>
        <w:tabs>
          <w:tab w:val="left" w:pos="1134"/>
        </w:tabs>
        <w:spacing w:after="0" w:line="240" w:lineRule="auto"/>
        <w:ind w:firstLine="426"/>
        <w:jc w:val="center"/>
      </w:pPr>
    </w:p>
    <w:p w:rsidR="00791892" w:rsidRDefault="00B84787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84787">
        <w:drawing>
          <wp:inline distT="0" distB="0" distL="0" distR="0">
            <wp:extent cx="5257800" cy="56692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6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1892" w:rsidSect="00F833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13EB1"/>
    <w:rsid w:val="0002417C"/>
    <w:rsid w:val="000340AD"/>
    <w:rsid w:val="00052327"/>
    <w:rsid w:val="000576E7"/>
    <w:rsid w:val="000A5277"/>
    <w:rsid w:val="000E7C3A"/>
    <w:rsid w:val="0010157F"/>
    <w:rsid w:val="001443FE"/>
    <w:rsid w:val="0015105A"/>
    <w:rsid w:val="001514A7"/>
    <w:rsid w:val="001604FD"/>
    <w:rsid w:val="00171085"/>
    <w:rsid w:val="00197A1A"/>
    <w:rsid w:val="001A0F6B"/>
    <w:rsid w:val="001B2B6B"/>
    <w:rsid w:val="001F34A0"/>
    <w:rsid w:val="001F4CE0"/>
    <w:rsid w:val="001F5A90"/>
    <w:rsid w:val="001F6DFF"/>
    <w:rsid w:val="00202019"/>
    <w:rsid w:val="00202116"/>
    <w:rsid w:val="00207E52"/>
    <w:rsid w:val="0023763A"/>
    <w:rsid w:val="002414CF"/>
    <w:rsid w:val="002425C2"/>
    <w:rsid w:val="002475F5"/>
    <w:rsid w:val="002A5B5D"/>
    <w:rsid w:val="002A656C"/>
    <w:rsid w:val="002B3E24"/>
    <w:rsid w:val="002C2033"/>
    <w:rsid w:val="002E0711"/>
    <w:rsid w:val="002F19E1"/>
    <w:rsid w:val="00325DFE"/>
    <w:rsid w:val="00361AEE"/>
    <w:rsid w:val="00363B70"/>
    <w:rsid w:val="0038253B"/>
    <w:rsid w:val="00390C4D"/>
    <w:rsid w:val="0039269D"/>
    <w:rsid w:val="00394E39"/>
    <w:rsid w:val="003A0034"/>
    <w:rsid w:val="003E6613"/>
    <w:rsid w:val="003F05C4"/>
    <w:rsid w:val="003F718E"/>
    <w:rsid w:val="0040069D"/>
    <w:rsid w:val="00445691"/>
    <w:rsid w:val="00496710"/>
    <w:rsid w:val="004A5F83"/>
    <w:rsid w:val="004C7FEE"/>
    <w:rsid w:val="004E2244"/>
    <w:rsid w:val="004F73B0"/>
    <w:rsid w:val="005049F7"/>
    <w:rsid w:val="00544B28"/>
    <w:rsid w:val="005769A7"/>
    <w:rsid w:val="00583938"/>
    <w:rsid w:val="005B2BFF"/>
    <w:rsid w:val="005B656B"/>
    <w:rsid w:val="005C34DB"/>
    <w:rsid w:val="005D7BDE"/>
    <w:rsid w:val="005E3F57"/>
    <w:rsid w:val="005E6106"/>
    <w:rsid w:val="005F53D5"/>
    <w:rsid w:val="005F7361"/>
    <w:rsid w:val="00661394"/>
    <w:rsid w:val="00662B4C"/>
    <w:rsid w:val="00664163"/>
    <w:rsid w:val="00664FE4"/>
    <w:rsid w:val="00666F68"/>
    <w:rsid w:val="00695F7E"/>
    <w:rsid w:val="006A1953"/>
    <w:rsid w:val="006E31B2"/>
    <w:rsid w:val="006E49A6"/>
    <w:rsid w:val="00722ED8"/>
    <w:rsid w:val="00732BD2"/>
    <w:rsid w:val="00745C11"/>
    <w:rsid w:val="007603D0"/>
    <w:rsid w:val="00791892"/>
    <w:rsid w:val="007A4CF3"/>
    <w:rsid w:val="007A6A74"/>
    <w:rsid w:val="007B53AD"/>
    <w:rsid w:val="007C3DEF"/>
    <w:rsid w:val="007D6135"/>
    <w:rsid w:val="007F2A46"/>
    <w:rsid w:val="00836930"/>
    <w:rsid w:val="00836D6B"/>
    <w:rsid w:val="00855CF9"/>
    <w:rsid w:val="008A062F"/>
    <w:rsid w:val="008C2B42"/>
    <w:rsid w:val="008D7700"/>
    <w:rsid w:val="008F18C9"/>
    <w:rsid w:val="008F3EF8"/>
    <w:rsid w:val="00933418"/>
    <w:rsid w:val="009B01F5"/>
    <w:rsid w:val="009D0169"/>
    <w:rsid w:val="009D352A"/>
    <w:rsid w:val="009D4379"/>
    <w:rsid w:val="009D4E3A"/>
    <w:rsid w:val="009E36C0"/>
    <w:rsid w:val="00A1582F"/>
    <w:rsid w:val="00A47700"/>
    <w:rsid w:val="00A555D7"/>
    <w:rsid w:val="00A56227"/>
    <w:rsid w:val="00A61CE2"/>
    <w:rsid w:val="00A8615A"/>
    <w:rsid w:val="00A91F93"/>
    <w:rsid w:val="00AF2375"/>
    <w:rsid w:val="00B03AAC"/>
    <w:rsid w:val="00B360FA"/>
    <w:rsid w:val="00B50903"/>
    <w:rsid w:val="00B72B91"/>
    <w:rsid w:val="00B84787"/>
    <w:rsid w:val="00B87F02"/>
    <w:rsid w:val="00B93E1F"/>
    <w:rsid w:val="00BA7CBE"/>
    <w:rsid w:val="00BB677E"/>
    <w:rsid w:val="00C03A0F"/>
    <w:rsid w:val="00C110E8"/>
    <w:rsid w:val="00C21CFF"/>
    <w:rsid w:val="00C65BCB"/>
    <w:rsid w:val="00CA2B46"/>
    <w:rsid w:val="00CC11D0"/>
    <w:rsid w:val="00CD38D6"/>
    <w:rsid w:val="00CF4123"/>
    <w:rsid w:val="00D04E3D"/>
    <w:rsid w:val="00D25E68"/>
    <w:rsid w:val="00D611A9"/>
    <w:rsid w:val="00DB4305"/>
    <w:rsid w:val="00DB5AFA"/>
    <w:rsid w:val="00DD7D11"/>
    <w:rsid w:val="00E15C29"/>
    <w:rsid w:val="00E76C4D"/>
    <w:rsid w:val="00EB38C4"/>
    <w:rsid w:val="00EC348B"/>
    <w:rsid w:val="00EC7086"/>
    <w:rsid w:val="00F13D41"/>
    <w:rsid w:val="00F34E87"/>
    <w:rsid w:val="00F410F8"/>
    <w:rsid w:val="00F4329B"/>
    <w:rsid w:val="00F44EA1"/>
    <w:rsid w:val="00F53950"/>
    <w:rsid w:val="00F833BC"/>
    <w:rsid w:val="00F937E2"/>
    <w:rsid w:val="00F96F6D"/>
    <w:rsid w:val="00FB3226"/>
    <w:rsid w:val="00FD55D2"/>
    <w:rsid w:val="00FF0905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\NINA\&#1042;&#1053;&#1045;&#1064;&#1053;&#1071;&#1071;%20&#1058;&#1054;&#1056;&#1043;&#1054;&#1042;&#1051;&#1071;\2019\&#1082;&#1074;&#1072;&#1088;&#1090;&#1072;&#1083;\3%20&#1050;&#1042;\&#1052;&#1086;&#1089;&#1082;&#1074;&#1072;\&#1058;&#1086;&#1088;&#1075;&#1086;&#1074;&#1099;&#1077;%20&#1087;&#1072;&#1088;&#1090;&#1085;&#1077;&#1088;&#1099;%20&#1075;&#1088;&#1072;&#1092;&#1080;&#108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\NINA\&#1042;&#1053;&#1045;&#1064;&#1053;&#1071;&#1071;%20&#1058;&#1054;&#1056;&#1043;&#1054;&#1042;&#1051;&#1071;\2019\&#1082;&#1074;&#1072;&#1088;&#1090;&#1072;&#1083;\3%20&#1050;&#1042;\&#1052;&#1086;&#1089;&#1082;&#1074;&#1072;\&#1058;&#1086;&#1074;&#1072;&#1088;&#1085;&#1072;&#1103;%20&#1089;&#1090;&#1088;&#1091;&#1082;&#1090;&#1091;&#1088;&#1072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5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</c:spPr>
    </c:backWall>
    <c:plotArea>
      <c:layout>
        <c:manualLayout>
          <c:layoutTarget val="inner"/>
          <c:xMode val="edge"/>
          <c:yMode val="edge"/>
          <c:x val="0.16929874942102827"/>
          <c:y val="6.2664321215167254E-2"/>
          <c:w val="0.79242504245792811"/>
          <c:h val="0.71986485731836714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График!$D$2</c:f>
              <c:strCache>
                <c:ptCount val="1"/>
                <c:pt idx="0">
                  <c:v>Оборот</c:v>
                </c:pt>
              </c:strCache>
            </c:strRef>
          </c:tx>
          <c:spPr>
            <a:gradFill flip="none" rotWithShape="1">
              <a:gsLst>
                <a:gs pos="0">
                  <a:srgbClr val="FFF200"/>
                </a:gs>
                <a:gs pos="81000">
                  <a:srgbClr val="FF0300"/>
                </a:gs>
                <a:gs pos="100000">
                  <a:srgbClr val="4D0808"/>
                </a:gs>
              </a:gsLst>
              <a:lin ang="2700000" scaled="1"/>
              <a:tileRect/>
            </a:gradFill>
          </c:spPr>
          <c:invertIfNegative val="0"/>
          <c:cat>
            <c:strRef>
              <c:f>График!$A$5:$A$14</c:f>
              <c:strCache>
                <c:ptCount val="10"/>
                <c:pt idx="0">
                  <c:v>КИТАЙ</c:v>
                </c:pt>
                <c:pt idx="1">
                  <c:v>ГЕРМАНИЯ</c:v>
                </c:pt>
                <c:pt idx="2">
                  <c:v>СОЕД. КОРОЛЕВСТВО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США</c:v>
                </c:pt>
                <c:pt idx="6">
                  <c:v>НИДЕРЛАНДЫ</c:v>
                </c:pt>
                <c:pt idx="7">
                  <c:v>ТУРЦИЯ</c:v>
                </c:pt>
                <c:pt idx="8">
                  <c:v>ПОЛЬША</c:v>
                </c:pt>
                <c:pt idx="9">
                  <c:v>ФРАНЦИЯ</c:v>
                </c:pt>
              </c:strCache>
            </c:strRef>
          </c:cat>
          <c:val>
            <c:numRef>
              <c:f>График!$D$5:$D$14</c:f>
              <c:numCache>
                <c:formatCode>#,##0.0</c:formatCode>
                <c:ptCount val="10"/>
                <c:pt idx="0">
                  <c:v>59265345.848329999</c:v>
                </c:pt>
                <c:pt idx="1">
                  <c:v>26892090.313960001</c:v>
                </c:pt>
                <c:pt idx="2">
                  <c:v>21360295.21562</c:v>
                </c:pt>
                <c:pt idx="3">
                  <c:v>19409581.868770003</c:v>
                </c:pt>
                <c:pt idx="4">
                  <c:v>14792867.837650001</c:v>
                </c:pt>
                <c:pt idx="5">
                  <c:v>14113086.016789999</c:v>
                </c:pt>
                <c:pt idx="6">
                  <c:v>11526233.584630001</c:v>
                </c:pt>
                <c:pt idx="7">
                  <c:v>11328999.19908</c:v>
                </c:pt>
                <c:pt idx="8">
                  <c:v>8609681.1004099995</c:v>
                </c:pt>
                <c:pt idx="9">
                  <c:v>8055660.1376900002</c:v>
                </c:pt>
              </c:numCache>
            </c:numRef>
          </c:val>
        </c:ser>
        <c:ser>
          <c:idx val="2"/>
          <c:order val="1"/>
          <c:tx>
            <c:strRef>
              <c:f>График!$B$2</c:f>
              <c:strCache>
                <c:ptCount val="1"/>
                <c:pt idx="0">
                  <c:v>Экспорт</c:v>
                </c:pt>
              </c:strCache>
            </c:strRef>
          </c:tx>
          <c:spPr>
            <a:gradFill flip="none" rotWithShape="1">
              <a:gsLst>
                <a:gs pos="0">
                  <a:srgbClr val="DDEBCF">
                    <a:lumMod val="8000"/>
                    <a:lumOff val="92000"/>
                  </a:srgbClr>
                </a:gs>
                <a:gs pos="50000">
                  <a:srgbClr val="9CB86E"/>
                </a:gs>
                <a:gs pos="100000">
                  <a:srgbClr val="156B13"/>
                </a:gs>
              </a:gsLst>
              <a:path path="shape">
                <a:fillToRect l="50000" t="50000" r="50000" b="50000"/>
              </a:path>
              <a:tileRect/>
            </a:gradFill>
            <a:ln>
              <a:noFill/>
            </a:ln>
            <a:scene3d>
              <a:camera prst="orthographicFront"/>
              <a:lightRig rig="morning" dir="t"/>
            </a:scene3d>
            <a:sp3d prstMaterial="dkEdge"/>
          </c:spPr>
          <c:invertIfNegative val="0"/>
          <c:cat>
            <c:strRef>
              <c:f>График!$A$5:$A$14</c:f>
              <c:strCache>
                <c:ptCount val="10"/>
                <c:pt idx="0">
                  <c:v>КИТАЙ</c:v>
                </c:pt>
                <c:pt idx="1">
                  <c:v>ГЕРМАНИЯ</c:v>
                </c:pt>
                <c:pt idx="2">
                  <c:v>СОЕД. КОРОЛЕВСТВО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США</c:v>
                </c:pt>
                <c:pt idx="6">
                  <c:v>НИДЕРЛАНДЫ</c:v>
                </c:pt>
                <c:pt idx="7">
                  <c:v>ТУРЦИЯ</c:v>
                </c:pt>
                <c:pt idx="8">
                  <c:v>ПОЛЬША</c:v>
                </c:pt>
                <c:pt idx="9">
                  <c:v>ФРАНЦИЯ</c:v>
                </c:pt>
              </c:strCache>
            </c:strRef>
          </c:cat>
          <c:val>
            <c:numRef>
              <c:f>График!$B$5:$B$14</c:f>
              <c:numCache>
                <c:formatCode>#,##0.0</c:formatCode>
                <c:ptCount val="10"/>
                <c:pt idx="0">
                  <c:v>22922714.63256</c:v>
                </c:pt>
                <c:pt idx="1">
                  <c:v>11399694.5492</c:v>
                </c:pt>
                <c:pt idx="2">
                  <c:v>18885954.047529999</c:v>
                </c:pt>
                <c:pt idx="3">
                  <c:v>10224468.10225</c:v>
                </c:pt>
                <c:pt idx="4">
                  <c:v>7896514.4170600008</c:v>
                </c:pt>
                <c:pt idx="5">
                  <c:v>5506089.4250400001</c:v>
                </c:pt>
                <c:pt idx="6">
                  <c:v>8890988.6947600003</c:v>
                </c:pt>
                <c:pt idx="7">
                  <c:v>8401713.1513199992</c:v>
                </c:pt>
                <c:pt idx="8">
                  <c:v>5250763.0408399999</c:v>
                </c:pt>
                <c:pt idx="9">
                  <c:v>2519351.4265600001</c:v>
                </c:pt>
              </c:numCache>
            </c:numRef>
          </c:val>
        </c:ser>
        <c:ser>
          <c:idx val="0"/>
          <c:order val="2"/>
          <c:tx>
            <c:strRef>
              <c:f>График!$C$2</c:f>
              <c:strCache>
                <c:ptCount val="1"/>
                <c:pt idx="0">
                  <c:v>Импорт</c:v>
                </c:pt>
              </c:strCache>
            </c:strRef>
          </c:tx>
          <c:spPr>
            <a:gradFill flip="none" rotWithShape="1">
              <a:gsLst>
                <a:gs pos="0">
                  <a:srgbClr val="000082"/>
                </a:gs>
                <a:gs pos="52000">
                  <a:srgbClr val="0047FF"/>
                </a:gs>
                <a:gs pos="100000">
                  <a:srgbClr val="0047FF"/>
                </a:gs>
              </a:gsLst>
              <a:lin ang="2700000" scaled="1"/>
              <a:tileRect/>
            </a:gradFill>
          </c:spPr>
          <c:invertIfNegative val="0"/>
          <c:cat>
            <c:strRef>
              <c:f>График!$A$5:$A$14</c:f>
              <c:strCache>
                <c:ptCount val="10"/>
                <c:pt idx="0">
                  <c:v>КИТАЙ</c:v>
                </c:pt>
                <c:pt idx="1">
                  <c:v>ГЕРМАНИЯ</c:v>
                </c:pt>
                <c:pt idx="2">
                  <c:v>СОЕД. КОРОЛЕВСТВО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США</c:v>
                </c:pt>
                <c:pt idx="6">
                  <c:v>НИДЕРЛАНДЫ</c:v>
                </c:pt>
                <c:pt idx="7">
                  <c:v>ТУРЦИЯ</c:v>
                </c:pt>
                <c:pt idx="8">
                  <c:v>ПОЛЬША</c:v>
                </c:pt>
                <c:pt idx="9">
                  <c:v>ФРАНЦИЯ</c:v>
                </c:pt>
              </c:strCache>
            </c:strRef>
          </c:cat>
          <c:val>
            <c:numRef>
              <c:f>График!$C$5:$C$14</c:f>
              <c:numCache>
                <c:formatCode>#,##0.0</c:formatCode>
                <c:ptCount val="10"/>
                <c:pt idx="0">
                  <c:v>36342631.215769999</c:v>
                </c:pt>
                <c:pt idx="1">
                  <c:v>15492395.764760001</c:v>
                </c:pt>
                <c:pt idx="2">
                  <c:v>2474341.1680900003</c:v>
                </c:pt>
                <c:pt idx="3">
                  <c:v>9185113.766520001</c:v>
                </c:pt>
                <c:pt idx="4">
                  <c:v>6896353.4205900002</c:v>
                </c:pt>
                <c:pt idx="5">
                  <c:v>8606996.5917499997</c:v>
                </c:pt>
                <c:pt idx="6">
                  <c:v>2635244.8898700001</c:v>
                </c:pt>
                <c:pt idx="7">
                  <c:v>2927286.0477600005</c:v>
                </c:pt>
                <c:pt idx="8">
                  <c:v>3358918.05957</c:v>
                </c:pt>
                <c:pt idx="9">
                  <c:v>5536308.7111299997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gapDepth val="102"/>
        <c:shape val="cylinder"/>
        <c:axId val="34435072"/>
        <c:axId val="34436608"/>
        <c:axId val="0"/>
      </c:bar3DChart>
      <c:catAx>
        <c:axId val="34435072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</c:spPr>
        <c:txPr>
          <a:bodyPr rot="-2700000" vert="horz"/>
          <a:lstStyle/>
          <a:p>
            <a:pPr>
              <a:defRPr sz="600" baseline="0"/>
            </a:pPr>
            <a:endParaRPr lang="ru-RU"/>
          </a:p>
        </c:txPr>
        <c:crossAx val="34436608"/>
        <c:crossesAt val="1500"/>
        <c:auto val="0"/>
        <c:lblAlgn val="ctr"/>
        <c:lblOffset val="100"/>
        <c:noMultiLvlLbl val="0"/>
      </c:catAx>
      <c:valAx>
        <c:axId val="34436608"/>
        <c:scaling>
          <c:orientation val="minMax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ru-RU" sz="1100"/>
                  <a:t>тыс. долларов США</a:t>
                </a:r>
              </a:p>
            </c:rich>
          </c:tx>
          <c:layout>
            <c:manualLayout>
              <c:xMode val="edge"/>
              <c:yMode val="edge"/>
              <c:x val="1.0909834800061757E-2"/>
              <c:y val="0.18125972638375956"/>
            </c:manualLayout>
          </c:layout>
          <c:overlay val="0"/>
        </c:title>
        <c:numFmt formatCode="#,##0" sourceLinked="0"/>
        <c:majorTickMark val="out"/>
        <c:minorTickMark val="none"/>
        <c:tickLblPos val="nextTo"/>
        <c:crossAx val="3443507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4575920584184405"/>
          <c:y val="2.197802197802198E-2"/>
          <c:w val="0.63851446168238868"/>
          <c:h val="7.0172478440194974E-2"/>
        </c:manualLayout>
      </c:layout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872340262006047"/>
          <c:y val="0"/>
          <c:w val="0.7290539268243007"/>
          <c:h val="1"/>
        </c:manualLayout>
      </c:layout>
      <c:pieChart>
        <c:varyColors val="1"/>
        <c:ser>
          <c:idx val="0"/>
          <c:order val="0"/>
          <c:tx>
            <c:strRef>
              <c:f>Экспорт!$H$13</c:f>
              <c:strCache>
                <c:ptCount val="1"/>
                <c:pt idx="0">
                  <c:v>Уд.вес</c:v>
                </c:pt>
              </c:strCache>
            </c:strRef>
          </c:tx>
          <c:explosion val="15"/>
          <c:dPt>
            <c:idx val="0"/>
            <c:bubble3D val="0"/>
            <c:explosion val="5"/>
          </c:dPt>
          <c:dPt>
            <c:idx val="1"/>
            <c:bubble3D val="0"/>
            <c:explosion val="9"/>
          </c:dPt>
          <c:dPt>
            <c:idx val="2"/>
            <c:bubble3D val="0"/>
            <c:explosion val="8"/>
          </c:dPt>
          <c:dPt>
            <c:idx val="3"/>
            <c:bubble3D val="0"/>
            <c:explosion val="7"/>
          </c:dPt>
          <c:dPt>
            <c:idx val="4"/>
            <c:bubble3D val="0"/>
            <c:explosion val="7"/>
          </c:dPt>
          <c:dLbls>
            <c:dLbl>
              <c:idx val="0"/>
              <c:layout>
                <c:manualLayout>
                  <c:x val="-0.14321142100228126"/>
                  <c:y val="4.3043569553805776E-2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6279606404339643"/>
                  <c:y val="-8.666666666666667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2222976216757952"/>
                  <c:y val="-0.25666666666666665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4447890275397818"/>
                  <c:y val="-0.3689855643044619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Продукция хим. промышленности, каучук -4,8%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9273011434318372E-2"/>
                  <c:y val="-0.38289842519685041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23141967067200711"/>
                  <c:y val="0.13666666666666666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Экспорт!$G$14:$G$19</c:f>
              <c:strCache>
                <c:ptCount val="6"/>
                <c:pt idx="0">
                  <c:v>Минеральные продукты - 59,4%</c:v>
                </c:pt>
                <c:pt idx="1">
                  <c:v>Машиностроительная продукция - 7,1%</c:v>
                </c:pt>
                <c:pt idx="2">
                  <c:v>Металлы и изделия из них - 4,7%</c:v>
                </c:pt>
                <c:pt idx="3">
                  <c:v>Продукция хим. промышленности, каучук -4,8%</c:v>
                </c:pt>
                <c:pt idx="4">
                  <c:v>Продовольственные товары и сырье - 5,0%</c:v>
                </c:pt>
                <c:pt idx="5">
                  <c:v>Другие товары - 19,0%</c:v>
                </c:pt>
              </c:strCache>
            </c:strRef>
          </c:cat>
          <c:val>
            <c:numRef>
              <c:f>Экспорт!$H$14:$H$19</c:f>
              <c:numCache>
                <c:formatCode>0.0</c:formatCode>
                <c:ptCount val="6"/>
                <c:pt idx="0">
                  <c:v>59.4</c:v>
                </c:pt>
                <c:pt idx="1">
                  <c:v>7.1</c:v>
                </c:pt>
                <c:pt idx="2">
                  <c:v>4.7</c:v>
                </c:pt>
                <c:pt idx="3">
                  <c:v>4.8</c:v>
                </c:pt>
                <c:pt idx="4">
                  <c:v>5</c:v>
                </c:pt>
                <c:pt idx="5">
                  <c:v>19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6"/>
      </c:pieChart>
    </c:plotArea>
    <c:plotVisOnly val="1"/>
    <c:dispBlanksAs val="gap"/>
    <c:showDLblsOverMax val="0"/>
  </c:chart>
  <c:spPr>
    <a:ln>
      <a:solidFill>
        <a:srgbClr val="0070C0"/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B33D1-C932-420C-9567-055A818C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2699</TotalTime>
  <Pages>4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Яна Корнелиевна</dc:creator>
  <cp:lastModifiedBy>Солодовникова Нина Александровна</cp:lastModifiedBy>
  <cp:revision>99</cp:revision>
  <cp:lastPrinted>2021-03-01T11:12:00Z</cp:lastPrinted>
  <dcterms:created xsi:type="dcterms:W3CDTF">2015-04-13T13:17:00Z</dcterms:created>
  <dcterms:modified xsi:type="dcterms:W3CDTF">2021-03-11T07:45:00Z</dcterms:modified>
</cp:coreProperties>
</file>